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ACC" w14:textId="52BEC588" w:rsidR="00002E2D" w:rsidRPr="00DC71B0" w:rsidRDefault="00002E2D" w:rsidP="0055640A">
      <w:pPr>
        <w:pStyle w:val="APDHeadingLevel1"/>
        <w:outlineLvl w:val="0"/>
      </w:pPr>
      <w:r w:rsidRPr="00DC71B0">
        <w:t xml:space="preserve">Form </w:t>
      </w:r>
      <w:r w:rsidR="005645C5">
        <w:t>OP-UA5</w:t>
      </w:r>
      <w:r w:rsidR="006E7239">
        <w:t xml:space="preserve"> - Instructions</w:t>
      </w:r>
    </w:p>
    <w:p w14:paraId="03AF9EC7" w14:textId="77777777" w:rsidR="008630F3" w:rsidRDefault="00002E2D" w:rsidP="0055640A">
      <w:pPr>
        <w:pStyle w:val="APDHeadingLevel1"/>
        <w:outlineLvl w:val="0"/>
      </w:pPr>
      <w:r w:rsidRPr="00DC71B0">
        <w:t>Process Heater/Furnace Attributes</w:t>
      </w:r>
    </w:p>
    <w:p w14:paraId="685BB870" w14:textId="704434EF" w:rsidR="008630F3" w:rsidRPr="00DC71B0" w:rsidRDefault="008630F3" w:rsidP="0055640A">
      <w:pPr>
        <w:pStyle w:val="APDHeadingLevel1"/>
        <w:outlineLvl w:val="0"/>
      </w:pPr>
      <w:r w:rsidRPr="00DC71B0">
        <w:t>Texas Commission on Environmental Quality</w:t>
      </w:r>
    </w:p>
    <w:p w14:paraId="663EFCF3" w14:textId="77777777" w:rsidR="00002E2D" w:rsidRPr="00DC71B0" w:rsidRDefault="00002E2D" w:rsidP="00273CFE">
      <w:pPr>
        <w:pStyle w:val="APDGeneral"/>
        <w:tabs>
          <w:tab w:val="left" w:pos="0"/>
        </w:tabs>
        <w:rPr>
          <w:rFonts w:asciiTheme="majorHAnsi" w:hAnsiTheme="majorHAnsi" w:cstheme="majorHAnsi"/>
        </w:rPr>
      </w:pPr>
      <w:r w:rsidRPr="00DC71B0">
        <w:rPr>
          <w:rFonts w:asciiTheme="majorHAnsi" w:hAnsiTheme="majorHAnsi" w:cstheme="majorHAnsi"/>
        </w:rPr>
        <w:t>General:</w:t>
      </w:r>
    </w:p>
    <w:p w14:paraId="197AD404" w14:textId="77777777" w:rsidR="00002E2D" w:rsidRPr="00DC71B0" w:rsidRDefault="00002E2D" w:rsidP="00273CFE">
      <w:pPr>
        <w:pStyle w:val="APDBody"/>
        <w:tabs>
          <w:tab w:val="left" w:pos="0"/>
        </w:tabs>
        <w:rPr>
          <w:rFonts w:asciiTheme="majorHAnsi" w:hAnsiTheme="majorHAnsi" w:cstheme="majorHAnsi"/>
        </w:rPr>
      </w:pPr>
      <w:r w:rsidRPr="00DC71B0">
        <w:rPr>
          <w:rFonts w:asciiTheme="majorHAnsi" w:hAnsiTheme="majorHAnsi" w:cstheme="majorHAnsi"/>
        </w:rPr>
        <w:t>This form is used to provide a description and data pertaining to all process heaters and furnaces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process heater and furnace, then it should be left blank and need not be submitted with the application. The following process heaters and furnaces are considered off-permit sources and do not need to be listed:</w:t>
      </w:r>
    </w:p>
    <w:p w14:paraId="182459D9" w14:textId="77777777" w:rsidR="00002E2D" w:rsidRPr="00DC71B0" w:rsidRDefault="00002E2D" w:rsidP="006B2636">
      <w:pPr>
        <w:pStyle w:val="APDBody"/>
        <w:tabs>
          <w:tab w:val="left" w:pos="1094"/>
        </w:tabs>
        <w:ind w:left="1094" w:hanging="547"/>
        <w:rPr>
          <w:rFonts w:asciiTheme="majorHAnsi" w:hAnsiTheme="majorHAnsi" w:cstheme="majorHAnsi"/>
        </w:rPr>
      </w:pPr>
      <w:r w:rsidRPr="00DC71B0">
        <w:rPr>
          <w:rFonts w:asciiTheme="majorHAnsi" w:hAnsiTheme="majorHAnsi" w:cstheme="majorHAnsi"/>
        </w:rPr>
        <w:t>A.</w:t>
      </w:r>
      <w:r w:rsidRPr="00DC71B0">
        <w:rPr>
          <w:rFonts w:asciiTheme="majorHAnsi" w:hAnsiTheme="majorHAnsi" w:cstheme="majorHAnsi"/>
        </w:rPr>
        <w:tab/>
        <w:t>In counties affected by Title 30 Texas Administrative Code Chapter 117 (30 TAC Chapter 117), water heaters, process heaters, and furnaces that do not fire liquid or solid fuel and have a maximum rated capacity less than 1.0 MMBtu/</w:t>
      </w:r>
      <w:proofErr w:type="spellStart"/>
      <w:r w:rsidRPr="00DC71B0">
        <w:rPr>
          <w:rFonts w:asciiTheme="majorHAnsi" w:hAnsiTheme="majorHAnsi" w:cstheme="majorHAnsi"/>
        </w:rPr>
        <w:t>hr</w:t>
      </w:r>
      <w:proofErr w:type="spellEnd"/>
      <w:r w:rsidRPr="00DC71B0">
        <w:rPr>
          <w:rFonts w:asciiTheme="majorHAnsi" w:hAnsiTheme="majorHAnsi" w:cstheme="majorHAnsi"/>
        </w:rPr>
        <w:t>, unless the unit is placed in service after June 9, 1993, as a functionally identical replacement for existing units subject to the provisions 30 TAC Chapter 117, Subchapter B.</w:t>
      </w:r>
    </w:p>
    <w:p w14:paraId="45979CBE" w14:textId="77777777" w:rsidR="00002E2D" w:rsidRPr="00DC71B0" w:rsidRDefault="00002E2D" w:rsidP="006B2636">
      <w:pPr>
        <w:pStyle w:val="APDBody"/>
        <w:tabs>
          <w:tab w:val="left" w:pos="1094"/>
        </w:tabs>
        <w:ind w:left="1094" w:hanging="547"/>
        <w:rPr>
          <w:rFonts w:asciiTheme="majorHAnsi" w:hAnsiTheme="majorHAnsi" w:cstheme="majorHAnsi"/>
        </w:rPr>
      </w:pPr>
      <w:r w:rsidRPr="00DC71B0">
        <w:rPr>
          <w:rFonts w:asciiTheme="majorHAnsi" w:hAnsiTheme="majorHAnsi" w:cstheme="majorHAnsi"/>
        </w:rPr>
        <w:t>B.</w:t>
      </w:r>
      <w:r w:rsidRPr="00DC71B0">
        <w:rPr>
          <w:rFonts w:asciiTheme="majorHAnsi" w:hAnsiTheme="majorHAnsi" w:cstheme="majorHAnsi"/>
        </w:rPr>
        <w:tab/>
        <w:t>In counties not affected by 30 TAC Chapter 117, process heaters and furnaces with a heat input capacity less than or equal to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that do not fire liquid or solid fuel.</w:t>
      </w:r>
    </w:p>
    <w:p w14:paraId="646506BA" w14:textId="77777777" w:rsidR="00002E2D" w:rsidRPr="00DC71B0" w:rsidRDefault="00002E2D" w:rsidP="006B2636">
      <w:pPr>
        <w:pStyle w:val="APDBody"/>
        <w:tabs>
          <w:tab w:val="left" w:pos="1094"/>
        </w:tabs>
        <w:ind w:left="1094" w:hanging="547"/>
        <w:rPr>
          <w:rFonts w:asciiTheme="majorHAnsi" w:hAnsiTheme="majorHAnsi" w:cstheme="majorHAnsi"/>
        </w:rPr>
      </w:pPr>
      <w:r w:rsidRPr="00DC71B0">
        <w:rPr>
          <w:rFonts w:asciiTheme="majorHAnsi" w:hAnsiTheme="majorHAnsi" w:cstheme="majorHAnsi"/>
        </w:rPr>
        <w:t>C.</w:t>
      </w:r>
      <w:r w:rsidRPr="00DC71B0">
        <w:rPr>
          <w:rFonts w:asciiTheme="majorHAnsi" w:hAnsiTheme="majorHAnsi" w:cstheme="majorHAnsi"/>
        </w:rPr>
        <w:tab/>
        <w:t>In counties not affected by 30 TAC Chapter 117, water heaters with a heat input capacity less than 10</w:t>
      </w:r>
      <w:r w:rsidR="005728A6">
        <w:rPr>
          <w:rFonts w:asciiTheme="majorHAnsi" w:hAnsiTheme="majorHAnsi" w:cstheme="majorHAnsi"/>
        </w:rPr>
        <w:t> </w:t>
      </w:r>
      <w:r w:rsidRPr="00DC71B0">
        <w:rPr>
          <w:rFonts w:asciiTheme="majorHAnsi" w:hAnsiTheme="majorHAnsi" w:cstheme="majorHAnsi"/>
        </w:rPr>
        <w:t>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and do not fire liquid or solid fuel.</w:t>
      </w:r>
    </w:p>
    <w:p w14:paraId="12C00862" w14:textId="77777777" w:rsidR="00002E2D" w:rsidRPr="00DC71B0" w:rsidRDefault="00002E2D" w:rsidP="00652318">
      <w:pPr>
        <w:pStyle w:val="APDBody"/>
        <w:tabs>
          <w:tab w:val="left" w:pos="0"/>
        </w:tabs>
        <w:rPr>
          <w:rFonts w:asciiTheme="majorHAnsi" w:hAnsiTheme="majorHAnsi" w:cstheme="majorHAnsi"/>
        </w:rPr>
      </w:pPr>
      <w:r w:rsidRPr="00DC71B0">
        <w:rPr>
          <w:rFonts w:asciiTheme="majorHAnsi" w:hAnsiTheme="majorHAnsi" w:cstheme="majorHAnsi"/>
        </w:rPr>
        <w:t>If the codes entered by the applicant show negative applicability to the rule or sections of the rule represented on the table, then the applicant need not</w:t>
      </w:r>
      <w:r w:rsidR="00902D02">
        <w:rPr>
          <w:rFonts w:asciiTheme="majorHAnsi" w:hAnsiTheme="majorHAnsi" w:cstheme="majorHAnsi"/>
        </w:rPr>
        <w:t xml:space="preserve"> c</w:t>
      </w:r>
      <w:r w:rsidR="00416FC5" w:rsidRPr="00DC71B0">
        <w:rPr>
          <w:rFonts w:asciiTheme="majorHAnsi" w:hAnsiTheme="majorHAnsi" w:cstheme="majorHAnsi"/>
        </w:rPr>
        <w:t xml:space="preserve">omplete </w:t>
      </w:r>
      <w:r w:rsidRPr="00DC71B0">
        <w:rPr>
          <w:rFonts w:asciiTheme="majorHAnsi" w:hAnsiTheme="majorHAnsi" w:cstheme="majorHAnsi"/>
        </w:rPr>
        <w:t>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6C0E3FE9" w14:textId="06C1DEFD" w:rsidR="00002E2D" w:rsidRPr="00DC71B0" w:rsidRDefault="00A740BE" w:rsidP="00002E2D">
      <w:pPr>
        <w:pStyle w:val="APDTable1stSpecific"/>
        <w:rPr>
          <w:rFonts w:asciiTheme="majorHAnsi" w:hAnsiTheme="majorHAnsi" w:cstheme="majorHAnsi"/>
        </w:rPr>
      </w:pPr>
      <w:hyperlink w:anchor="Table1a" w:tooltip="Tables 1a - 1c" w:history="1">
        <w:r w:rsidR="00002E2D" w:rsidRPr="0036344A">
          <w:rPr>
            <w:rStyle w:val="Hyperlink"/>
          </w:rPr>
          <w:t>Table</w:t>
        </w:r>
        <w:r w:rsidR="00E45703" w:rsidRPr="0036344A">
          <w:rPr>
            <w:rStyle w:val="Hyperlink"/>
          </w:rPr>
          <w:t>s</w:t>
        </w:r>
        <w:r w:rsidR="00002E2D" w:rsidRPr="0036344A">
          <w:rPr>
            <w:rStyle w:val="Hyperlink"/>
          </w:rPr>
          <w:t xml:space="preserve"> 1a</w:t>
        </w:r>
      </w:hyperlink>
      <w:r w:rsidR="00002E2D" w:rsidRPr="002B5D62">
        <w:rPr>
          <w:rFonts w:asciiTheme="majorHAnsi" w:hAnsiTheme="majorHAnsi" w:cstheme="majorHAnsi"/>
          <w:color w:val="0000FF"/>
        </w:rPr>
        <w:t xml:space="preserve"> - </w:t>
      </w:r>
      <w:hyperlink w:anchor="Table1c" w:tooltip="Link to Instructions" w:history="1">
        <w:r w:rsidR="00002E2D" w:rsidRPr="0036344A">
          <w:rPr>
            <w:rStyle w:val="Hyperlink"/>
          </w:rPr>
          <w:t>1c</w:t>
        </w:r>
      </w:hyperlink>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for Process Heaters</w:t>
      </w:r>
    </w:p>
    <w:p w14:paraId="79B6C334" w14:textId="3310AC1D" w:rsidR="00002E2D" w:rsidRPr="00DC71B0" w:rsidRDefault="00A740BE" w:rsidP="00002E2D">
      <w:pPr>
        <w:pStyle w:val="APDTable1stSpecific"/>
        <w:rPr>
          <w:rFonts w:asciiTheme="majorHAnsi" w:hAnsiTheme="majorHAnsi" w:cstheme="majorHAnsi"/>
        </w:rPr>
      </w:pPr>
      <w:hyperlink w:anchor="Table2" w:tooltip="Table 2" w:history="1">
        <w:r w:rsidR="00002E2D" w:rsidRPr="0036344A">
          <w:rPr>
            <w:rStyle w:val="Hyperlink"/>
          </w:rPr>
          <w:t>Table 2</w:t>
        </w:r>
      </w:hyperlink>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112 (30 TAC Chapter 112), Control of Air Pollution from Sulfur Compounds</w:t>
      </w:r>
    </w:p>
    <w:p w14:paraId="736BA1F1" w14:textId="06335CF3" w:rsidR="00002E2D" w:rsidRPr="00DC71B0" w:rsidRDefault="00A740BE" w:rsidP="00002E2D">
      <w:pPr>
        <w:pStyle w:val="APDTable1stSpecific"/>
        <w:rPr>
          <w:rFonts w:asciiTheme="majorHAnsi" w:hAnsiTheme="majorHAnsi" w:cstheme="majorHAnsi"/>
        </w:rPr>
      </w:pPr>
      <w:hyperlink w:anchor="Table3a" w:tooltip="Tables 3a - 3b" w:history="1">
        <w:r w:rsidR="00002E2D" w:rsidRPr="0036344A">
          <w:rPr>
            <w:rStyle w:val="Hyperlink"/>
          </w:rPr>
          <w:t>Table</w:t>
        </w:r>
        <w:r w:rsidR="00E45703" w:rsidRPr="0036344A">
          <w:rPr>
            <w:rStyle w:val="Hyperlink"/>
          </w:rPr>
          <w:t>s</w:t>
        </w:r>
        <w:r w:rsidR="00002E2D" w:rsidRPr="0036344A">
          <w:rPr>
            <w:rStyle w:val="Hyperlink"/>
          </w:rPr>
          <w:t xml:space="preserve"> 3a</w:t>
        </w:r>
      </w:hyperlink>
      <w:r w:rsidR="00002E2D" w:rsidRPr="00DC71B0">
        <w:rPr>
          <w:rFonts w:asciiTheme="majorHAnsi" w:hAnsiTheme="majorHAnsi" w:cstheme="majorHAnsi"/>
        </w:rPr>
        <w:t xml:space="preserve"> -</w:t>
      </w:r>
      <w:hyperlink w:anchor="Table3b" w:tooltip="Link to Instructions" w:history="1">
        <w:r w:rsidR="00002E2D" w:rsidRPr="002B5D62">
          <w:rPr>
            <w:rStyle w:val="Hyperlink"/>
          </w:rPr>
          <w:t xml:space="preserve"> </w:t>
        </w:r>
        <w:r w:rsidR="00002E2D" w:rsidRPr="0036344A">
          <w:rPr>
            <w:rStyle w:val="Hyperlink"/>
          </w:rPr>
          <w:t>3b</w:t>
        </w:r>
      </w:hyperlink>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for Furnaces</w:t>
      </w:r>
    </w:p>
    <w:p w14:paraId="033084BA" w14:textId="4C6DCBDC" w:rsidR="00002E2D" w:rsidRPr="00DC71B0" w:rsidRDefault="00A740BE" w:rsidP="00002E2D">
      <w:pPr>
        <w:pStyle w:val="APDTable1stSpecific"/>
        <w:rPr>
          <w:rFonts w:asciiTheme="majorHAnsi" w:hAnsiTheme="majorHAnsi" w:cstheme="majorHAnsi"/>
        </w:rPr>
      </w:pPr>
      <w:hyperlink w:anchor="Table4" w:tooltip="Table 4" w:history="1">
        <w:r w:rsidR="00002E2D" w:rsidRPr="0036344A">
          <w:rPr>
            <w:rStyle w:val="Hyperlink"/>
          </w:rPr>
          <w:t>Table 4</w:t>
        </w:r>
      </w:hyperlink>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111 (30 TAC Chapter 111), Subchapter A, Division 2: Incineration</w:t>
      </w:r>
    </w:p>
    <w:p w14:paraId="776095E1" w14:textId="4E7316AB" w:rsidR="00002E2D" w:rsidRDefault="00A740BE" w:rsidP="00902D02">
      <w:pPr>
        <w:pStyle w:val="APDTable1stSpecific"/>
        <w:spacing w:after="120"/>
        <w:rPr>
          <w:rFonts w:asciiTheme="majorHAnsi" w:hAnsiTheme="majorHAnsi" w:cstheme="majorHAnsi"/>
        </w:rPr>
      </w:pPr>
      <w:hyperlink w:anchor="Table5a" w:tooltip="Tables 5a - 5b" w:history="1">
        <w:r w:rsidR="00002E2D" w:rsidRPr="0036344A">
          <w:rPr>
            <w:rStyle w:val="Hyperlink"/>
          </w:rPr>
          <w:t>Table</w:t>
        </w:r>
        <w:r w:rsidR="00E45703" w:rsidRPr="0036344A">
          <w:rPr>
            <w:rStyle w:val="Hyperlink"/>
          </w:rPr>
          <w:t>s</w:t>
        </w:r>
        <w:r w:rsidR="00002E2D" w:rsidRPr="0036344A">
          <w:rPr>
            <w:rStyle w:val="Hyperlink"/>
          </w:rPr>
          <w:t xml:space="preserve"> 5a</w:t>
        </w:r>
      </w:hyperlink>
      <w:r w:rsidR="00002E2D" w:rsidRPr="00DC71B0">
        <w:rPr>
          <w:rFonts w:asciiTheme="majorHAnsi" w:hAnsiTheme="majorHAnsi" w:cstheme="majorHAnsi"/>
        </w:rPr>
        <w:t xml:space="preserve"> - </w:t>
      </w:r>
      <w:hyperlink w:anchor="Table5b" w:tooltip="Link to Instructions" w:history="1">
        <w:r w:rsidR="00002E2D" w:rsidRPr="0036344A">
          <w:rPr>
            <w:rStyle w:val="Hyperlink"/>
          </w:rPr>
          <w:t>5b</w:t>
        </w:r>
      </w:hyperlink>
      <w:r w:rsidR="00002E2D" w:rsidRPr="00DC71B0">
        <w:rPr>
          <w:rFonts w:asciiTheme="majorHAnsi" w:hAnsiTheme="majorHAnsi" w:cstheme="majorHAnsi"/>
        </w:rPr>
        <w:t>:</w:t>
      </w:r>
      <w:r w:rsidR="00002E2D" w:rsidRPr="00DC71B0">
        <w:rPr>
          <w:rFonts w:asciiTheme="majorHAnsi" w:hAnsiTheme="majorHAnsi" w:cstheme="majorHAnsi"/>
        </w:rPr>
        <w:tab/>
        <w:t>Title 40 Code of Federal Regulations Part 63 (40 CFR Part 63), Subpart EEE: Hazardous Waste Combustors</w:t>
      </w:r>
    </w:p>
    <w:p w14:paraId="4F62CF6D" w14:textId="1114AC4E" w:rsidR="00B01DA8" w:rsidRDefault="00A740BE" w:rsidP="00B01DA8">
      <w:pPr>
        <w:ind w:left="2160" w:hanging="2160"/>
        <w:rPr>
          <w:b/>
          <w:bCs/>
        </w:rPr>
      </w:pPr>
      <w:hyperlink w:anchor="Table_6a" w:tooltip="Table 6a - 6g" w:history="1">
        <w:r w:rsidR="00B01DA8" w:rsidRPr="0036344A">
          <w:rPr>
            <w:rStyle w:val="Hyperlink"/>
            <w:b/>
            <w:bCs/>
          </w:rPr>
          <w:t>Table 6</w:t>
        </w:r>
        <w:r w:rsidR="000822FA" w:rsidRPr="0036344A">
          <w:rPr>
            <w:rStyle w:val="Hyperlink"/>
            <w:b/>
            <w:bCs/>
          </w:rPr>
          <w:t>a</w:t>
        </w:r>
      </w:hyperlink>
      <w:r w:rsidR="000822FA" w:rsidRPr="00C4350F">
        <w:rPr>
          <w:rFonts w:asciiTheme="majorHAnsi" w:hAnsiTheme="majorHAnsi" w:cstheme="majorHAnsi"/>
          <w:b/>
        </w:rPr>
        <w:t xml:space="preserve"> - </w:t>
      </w:r>
      <w:hyperlink w:anchor="Table_6g" w:tooltip="Link to instructions" w:history="1">
        <w:r w:rsidR="000822FA" w:rsidRPr="0036344A">
          <w:rPr>
            <w:rStyle w:val="Hyperlink"/>
            <w:b/>
            <w:bCs/>
          </w:rPr>
          <w:t>6g</w:t>
        </w:r>
      </w:hyperlink>
      <w:r w:rsidR="00B01DA8" w:rsidRPr="00C4350F">
        <w:rPr>
          <w:rFonts w:asciiTheme="majorHAnsi" w:hAnsiTheme="majorHAnsi" w:cstheme="majorHAnsi"/>
          <w:b/>
        </w:rPr>
        <w:t>:</w:t>
      </w:r>
      <w:r w:rsidR="00B01DA8" w:rsidRPr="00EF0801">
        <w:rPr>
          <w:b/>
        </w:rPr>
        <w:tab/>
        <w:t>Title 40 Code of Federal Regulations Part 63 (40 CFR Part 63)</w:t>
      </w:r>
      <w:r w:rsidR="00B01DA8">
        <w:rPr>
          <w:b/>
        </w:rPr>
        <w:t xml:space="preserve">, </w:t>
      </w:r>
      <w:r w:rsidR="00B01DA8" w:rsidRPr="00EF0801">
        <w:rPr>
          <w:b/>
        </w:rPr>
        <w:t xml:space="preserve">Subpart </w:t>
      </w:r>
      <w:r w:rsidR="00B01DA8">
        <w:rPr>
          <w:b/>
        </w:rPr>
        <w:t>DDDDD</w:t>
      </w:r>
      <w:r w:rsidR="00B01DA8" w:rsidRPr="00EF0801">
        <w:rPr>
          <w:b/>
        </w:rPr>
        <w:t xml:space="preserve">: </w:t>
      </w:r>
      <w:r w:rsidR="00B01DA8" w:rsidRPr="00495923">
        <w:rPr>
          <w:b/>
          <w:bCs/>
        </w:rPr>
        <w:t xml:space="preserve">Industrial, Commercial, and </w:t>
      </w:r>
      <w:r w:rsidR="007C0D8B">
        <w:rPr>
          <w:b/>
          <w:bCs/>
        </w:rPr>
        <w:t>Institutional</w:t>
      </w:r>
      <w:r w:rsidR="007C0D8B" w:rsidRPr="00495923">
        <w:rPr>
          <w:b/>
          <w:bCs/>
        </w:rPr>
        <w:t xml:space="preserve"> </w:t>
      </w:r>
      <w:r w:rsidR="00B01DA8">
        <w:rPr>
          <w:b/>
          <w:bCs/>
        </w:rPr>
        <w:t>Process Heater</w:t>
      </w:r>
      <w:r w:rsidR="00B01DA8" w:rsidRPr="00495923">
        <w:rPr>
          <w:b/>
          <w:bCs/>
        </w:rPr>
        <w:t>s</w:t>
      </w:r>
    </w:p>
    <w:p w14:paraId="03F09F27" w14:textId="77777777" w:rsidR="00002E2D" w:rsidRPr="00DC71B0" w:rsidRDefault="00002E2D" w:rsidP="00286662">
      <w:pPr>
        <w:pStyle w:val="APDBody"/>
        <w:tabs>
          <w:tab w:val="left" w:pos="0"/>
        </w:tabs>
        <w:rPr>
          <w:rFonts w:asciiTheme="majorHAnsi" w:hAnsiTheme="majorHAnsi" w:cstheme="majorHAnsi"/>
        </w:rPr>
      </w:pPr>
      <w:r w:rsidRPr="00DC71B0">
        <w:rPr>
          <w:rFonts w:asciiTheme="majorHAnsi" w:hAnsiTheme="majorHAnsi" w:cstheme="majorHAnsi"/>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5728A6">
        <w:rPr>
          <w:rFonts w:asciiTheme="majorHAnsi" w:hAnsiTheme="majorHAnsi" w:cstheme="majorHAnsi"/>
        </w:rPr>
        <w:t>MM/DD/YYYY</w:t>
      </w:r>
      <w:r w:rsidRPr="00DC71B0">
        <w:rPr>
          <w:rFonts w:asciiTheme="majorHAnsi" w:hAnsiTheme="majorHAnsi" w:cstheme="majorHAnsi"/>
          <w:i/>
        </w:rPr>
        <w:t>).</w:t>
      </w:r>
      <w:r w:rsidRPr="00DC71B0">
        <w:rPr>
          <w:rFonts w:asciiTheme="majorHAnsi" w:hAnsiTheme="majorHAnsi" w:cstheme="majorHAnsi"/>
        </w:rPr>
        <w:t xml:space="preserve"> </w:t>
      </w:r>
      <w:r w:rsidRPr="00DC71B0">
        <w:rPr>
          <w:rFonts w:asciiTheme="majorHAnsi" w:hAnsiTheme="majorHAnsi" w:cstheme="majorHAnsi"/>
          <w:b/>
        </w:rPr>
        <w:t>Leave the permit number blank for the initial form submittal.</w:t>
      </w:r>
      <w:r w:rsidRPr="00DC71B0">
        <w:rPr>
          <w:rFonts w:asciiTheme="majorHAnsi" w:hAnsiTheme="majorHAnsi" w:cstheme="majorHAnsi"/>
        </w:rPr>
        <w:t xml:space="preserve"> If this form is included as part of the permit revision process, enter the permit number assigned by the TCEQ, the area name (from Form OP-1), the date of the revision submittal, and the regulated entity number.</w:t>
      </w:r>
    </w:p>
    <w:p w14:paraId="61377292" w14:textId="77777777" w:rsidR="006707C0" w:rsidRDefault="00002E2D" w:rsidP="00286662">
      <w:pPr>
        <w:pStyle w:val="APDBody"/>
        <w:tabs>
          <w:tab w:val="left" w:pos="0"/>
        </w:tabs>
        <w:rPr>
          <w:rFonts w:asciiTheme="majorHAnsi" w:hAnsiTheme="majorHAnsi" w:cstheme="majorHAnsi"/>
          <w:b/>
          <w:i/>
        </w:rPr>
      </w:pPr>
      <w:r w:rsidRPr="00DC71B0">
        <w:rPr>
          <w:rFonts w:asciiTheme="majorHAnsi" w:hAnsiTheme="majorHAnsi" w:cstheme="majorHAnsi"/>
        </w:rPr>
        <w:t>Unit attribute questions that do not require a response from all applicants are preceded by qualification criteria in the instructions. If the unit does not meet the qualification criteria, a response to the question is not required</w:t>
      </w:r>
      <w:r w:rsidRPr="00DC71B0">
        <w:rPr>
          <w:rFonts w:asciiTheme="majorHAnsi" w:hAnsiTheme="majorHAnsi" w:cstheme="majorHAnsi"/>
          <w:b/>
        </w:rPr>
        <w:t xml:space="preserve">. </w:t>
      </w:r>
      <w:r w:rsidRPr="00E45703">
        <w:rPr>
          <w:rFonts w:asciiTheme="majorHAnsi" w:hAnsiTheme="majorHAnsi" w:cstheme="majorHAnsi"/>
          <w:b/>
        </w:rPr>
        <w:t>Anytime a response is not required based on the qualification criteria, leave the space on the form blank</w:t>
      </w:r>
      <w:r w:rsidRPr="00E45703">
        <w:rPr>
          <w:rFonts w:asciiTheme="majorHAnsi" w:hAnsiTheme="majorHAnsi" w:cstheme="majorHAnsi"/>
          <w:b/>
          <w:i/>
        </w:rPr>
        <w:t>.</w:t>
      </w:r>
    </w:p>
    <w:p w14:paraId="746A82C0" w14:textId="77777777" w:rsidR="00793C3D" w:rsidRDefault="00793C3D" w:rsidP="00286662">
      <w:pPr>
        <w:pStyle w:val="APDBody"/>
        <w:tabs>
          <w:tab w:val="left" w:pos="0"/>
        </w:tabs>
        <w:rPr>
          <w:rFonts w:asciiTheme="majorHAnsi" w:hAnsiTheme="majorHAnsi" w:cstheme="majorHAnsi"/>
          <w:b/>
          <w:i/>
        </w:rPr>
      </w:pPr>
    </w:p>
    <w:p w14:paraId="404F9994" w14:textId="192D8114" w:rsidR="00793C3D" w:rsidRDefault="00793C3D" w:rsidP="00286662">
      <w:pPr>
        <w:pStyle w:val="APDBody"/>
        <w:tabs>
          <w:tab w:val="left" w:pos="0"/>
        </w:tabs>
        <w:rPr>
          <w:rFonts w:asciiTheme="majorHAnsi" w:hAnsiTheme="majorHAnsi" w:cstheme="majorHAnsi"/>
          <w:b/>
          <w:i/>
        </w:rPr>
        <w:sectPr w:rsidR="00793C3D" w:rsidSect="004F1904">
          <w:headerReference w:type="default" r:id="rId7"/>
          <w:footerReference w:type="default" r:id="rId8"/>
          <w:footerReference w:type="first" r:id="rId9"/>
          <w:pgSz w:w="12240" w:h="15840" w:code="1"/>
          <w:pgMar w:top="720" w:right="720" w:bottom="720" w:left="720" w:header="720" w:footer="720" w:gutter="0"/>
          <w:cols w:space="720"/>
          <w:titlePg/>
          <w:docGrid w:linePitch="360"/>
        </w:sectPr>
      </w:pPr>
    </w:p>
    <w:p w14:paraId="11F6090B" w14:textId="2E473003" w:rsidR="00002E2D" w:rsidRPr="00E45703" w:rsidRDefault="00002E2D" w:rsidP="00286662">
      <w:pPr>
        <w:pStyle w:val="APDBody"/>
        <w:tabs>
          <w:tab w:val="left" w:pos="0"/>
        </w:tabs>
        <w:rPr>
          <w:rFonts w:asciiTheme="majorHAnsi" w:hAnsiTheme="majorHAnsi" w:cstheme="majorHAnsi"/>
          <w:b/>
        </w:rPr>
      </w:pPr>
      <w:r w:rsidRPr="00E45703">
        <w:rPr>
          <w:rFonts w:asciiTheme="majorHAnsi" w:hAnsiTheme="majorHAnsi" w:cstheme="majorHAnsi"/>
          <w:b/>
        </w:rPr>
        <w:lastRenderedPageBreak/>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26C5B4A7" w14:textId="77777777" w:rsidR="00002E2D" w:rsidRPr="00DC71B0" w:rsidRDefault="00002E2D" w:rsidP="00286662">
      <w:pPr>
        <w:pStyle w:val="APDBody"/>
        <w:tabs>
          <w:tab w:val="left" w:pos="0"/>
        </w:tabs>
        <w:rPr>
          <w:rFonts w:asciiTheme="majorHAnsi" w:hAnsiTheme="majorHAnsi" w:cstheme="majorHAnsi"/>
        </w:rPr>
      </w:pPr>
      <w:r w:rsidRPr="00DC71B0">
        <w:rPr>
          <w:rFonts w:asciiTheme="majorHAnsi" w:hAnsiTheme="majorHAnsi" w:cstheme="majorHAnsi"/>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09B0335A" w14:textId="1BF12252" w:rsidR="00002E2D" w:rsidRPr="00DC71B0" w:rsidRDefault="00002E2D" w:rsidP="00286662">
      <w:pPr>
        <w:tabs>
          <w:tab w:val="left" w:pos="0"/>
        </w:tabs>
        <w:rPr>
          <w:rFonts w:asciiTheme="majorHAnsi" w:hAnsiTheme="majorHAnsi" w:cstheme="majorHAnsi"/>
        </w:rPr>
      </w:pPr>
      <w:r w:rsidRPr="00DC71B0">
        <w:rPr>
          <w:rFonts w:asciiTheme="majorHAnsi" w:hAnsiTheme="majorHAnsi" w:cstheme="majorHAnsi"/>
        </w:rPr>
        <w:t>The Texas Commission on Environmental Quality (TCEQ)</w:t>
      </w:r>
      <w:r w:rsidRPr="005612EC">
        <w:rPr>
          <w:rFonts w:asciiTheme="majorHAnsi" w:hAnsiTheme="majorHAnsi" w:cstheme="majorHAnsi"/>
          <w:b/>
        </w:rPr>
        <w:t xml:space="preserve"> requires</w:t>
      </w:r>
      <w:r w:rsidRPr="005728A6">
        <w:rPr>
          <w:rFonts w:asciiTheme="majorHAnsi" w:hAnsiTheme="majorHAnsi" w:cstheme="majorHAnsi"/>
        </w:rPr>
        <w:t xml:space="preserve"> </w:t>
      </w:r>
      <w:r w:rsidRPr="00DC71B0">
        <w:rPr>
          <w:rFonts w:asciiTheme="majorHAnsi" w:hAnsiTheme="majorHAnsi" w:cstheme="majorHAnsi"/>
        </w:rPr>
        <w:t>that a Core Data Form be submitted on</w:t>
      </w:r>
      <w:r w:rsidRPr="005728A6">
        <w:rPr>
          <w:rFonts w:asciiTheme="majorHAnsi" w:hAnsiTheme="majorHAnsi" w:cstheme="majorHAnsi"/>
        </w:rPr>
        <w:t xml:space="preserve"> </w:t>
      </w:r>
      <w:r w:rsidR="0085420F">
        <w:rPr>
          <w:rFonts w:asciiTheme="majorHAnsi" w:hAnsiTheme="majorHAnsi" w:cstheme="majorHAnsi"/>
          <w:b/>
        </w:rPr>
        <w:t>all</w:t>
      </w:r>
      <w:r w:rsidRPr="00DC71B0">
        <w:rPr>
          <w:rFonts w:asciiTheme="majorHAnsi" w:hAnsiTheme="majorHAnsi" w:cstheme="majorHAnsi"/>
        </w:rPr>
        <w:t xml:space="preserve"> incoming registrations unless all of the following are met: the Regulated Entity </w:t>
      </w:r>
      <w:r w:rsidRPr="005728A6">
        <w:rPr>
          <w:rFonts w:asciiTheme="majorHAnsi" w:hAnsiTheme="majorHAnsi" w:cstheme="majorHAnsi"/>
        </w:rPr>
        <w:t>and</w:t>
      </w:r>
      <w:r w:rsidRPr="0084291D">
        <w:rPr>
          <w:rFonts w:asciiTheme="majorHAnsi" w:hAnsiTheme="majorHAnsi" w:cstheme="majorHAnsi"/>
        </w:rPr>
        <w:t xml:space="preserve"> </w:t>
      </w:r>
      <w:r w:rsidRPr="00DC71B0">
        <w:rPr>
          <w:rFonts w:asciiTheme="majorHAnsi" w:hAnsiTheme="majorHAnsi" w:cstheme="majorHAnsi"/>
        </w:rPr>
        <w:t xml:space="preserve">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5728A6">
        <w:rPr>
          <w:rFonts w:asciiTheme="majorHAnsi" w:hAnsiTheme="majorHAnsi" w:cstheme="majorHAnsi"/>
        </w:rPr>
        <w:t>Customer Reference (CN) number</w:t>
      </w:r>
      <w:r w:rsidRPr="0084291D">
        <w:rPr>
          <w:rFonts w:asciiTheme="majorHAnsi" w:hAnsiTheme="majorHAnsi" w:cstheme="majorHAnsi"/>
        </w:rPr>
        <w:t xml:space="preserve"> and the </w:t>
      </w:r>
      <w:r w:rsidRPr="005728A6">
        <w:rPr>
          <w:rFonts w:asciiTheme="majorHAnsi" w:hAnsiTheme="majorHAnsi" w:cstheme="majorHAnsi"/>
        </w:rPr>
        <w:t>Regulated Entity (RN) number</w:t>
      </w:r>
      <w:r w:rsidRPr="0084291D">
        <w:rPr>
          <w:rFonts w:asciiTheme="majorHAnsi" w:hAnsiTheme="majorHAnsi" w:cstheme="majorHAnsi"/>
        </w:rPr>
        <w:t>.</w:t>
      </w:r>
      <w:r w:rsidRPr="00DC71B0">
        <w:rPr>
          <w:rFonts w:asciiTheme="majorHAnsi" w:hAnsiTheme="majorHAnsi" w:cstheme="majorHAnsi"/>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website at </w:t>
      </w:r>
      <w:hyperlink r:id="rId10" w:tooltip="TCEQ Central Registry/Core Data Forms" w:history="1">
        <w:r w:rsidR="00B01DA8" w:rsidRPr="009D4860">
          <w:rPr>
            <w:rStyle w:val="Hyperlink"/>
          </w:rPr>
          <w:t>www.tceq.texas.gov/permitting/central_registry</w:t>
        </w:r>
      </w:hyperlink>
      <w:r w:rsidRPr="00DC71B0">
        <w:rPr>
          <w:rFonts w:asciiTheme="majorHAnsi" w:hAnsiTheme="majorHAnsi" w:cstheme="majorHAnsi"/>
        </w:rPr>
        <w:t>.</w:t>
      </w:r>
    </w:p>
    <w:p w14:paraId="47AEBE84" w14:textId="77777777" w:rsidR="00002E2D" w:rsidRPr="00DC71B0" w:rsidRDefault="00002E2D" w:rsidP="00002E2D">
      <w:pPr>
        <w:pStyle w:val="APDBody"/>
        <w:pBdr>
          <w:bottom w:val="double" w:sz="6" w:space="1" w:color="auto"/>
        </w:pBdr>
        <w:rPr>
          <w:rFonts w:asciiTheme="majorHAnsi" w:hAnsiTheme="majorHAnsi" w:cstheme="majorHAnsi"/>
        </w:rPr>
      </w:pPr>
    </w:p>
    <w:p w14:paraId="15CF97FC" w14:textId="77777777" w:rsidR="00002E2D" w:rsidRPr="00DC71B0" w:rsidRDefault="00002E2D" w:rsidP="00002E2D">
      <w:pPr>
        <w:pStyle w:val="APDSpecific"/>
        <w:rPr>
          <w:rFonts w:asciiTheme="majorHAnsi" w:hAnsiTheme="majorHAnsi" w:cstheme="majorHAnsi"/>
        </w:rPr>
      </w:pPr>
      <w:r w:rsidRPr="00DC71B0">
        <w:rPr>
          <w:rFonts w:asciiTheme="majorHAnsi" w:hAnsiTheme="majorHAnsi" w:cstheme="majorHAnsi"/>
        </w:rPr>
        <w:t>Specific:</w:t>
      </w:r>
    </w:p>
    <w:bookmarkStart w:id="0" w:name="Table1a"/>
    <w:p w14:paraId="580663B4" w14:textId="0FD35BF4" w:rsidR="00002E2D" w:rsidRPr="00DC71B0" w:rsidRDefault="008D04A9" w:rsidP="00002E2D">
      <w:pPr>
        <w:pStyle w:val="APDTable1stSpecific"/>
        <w:rPr>
          <w:rFonts w:asciiTheme="majorHAnsi" w:hAnsiTheme="majorHAnsi" w:cstheme="majorHAnsi"/>
        </w:rPr>
      </w:pPr>
      <w:r w:rsidRPr="00273CFE">
        <w:rPr>
          <w:rStyle w:val="Hyperlink"/>
        </w:rPr>
        <w:fldChar w:fldCharType="begin"/>
      </w:r>
      <w:r w:rsidR="00BB1F6B">
        <w:rPr>
          <w:rStyle w:val="Hyperlink"/>
        </w:rPr>
        <w:instrText>HYPERLINK  \l "TBL1a" \o "Table 1a"</w:instrText>
      </w:r>
      <w:r w:rsidRPr="00273CFE">
        <w:rPr>
          <w:rStyle w:val="Hyperlink"/>
        </w:rPr>
      </w:r>
      <w:r w:rsidRPr="00273CFE">
        <w:rPr>
          <w:rStyle w:val="Hyperlink"/>
        </w:rPr>
        <w:fldChar w:fldCharType="separate"/>
      </w:r>
      <w:r w:rsidR="00002E2D" w:rsidRPr="0036344A">
        <w:rPr>
          <w:rStyle w:val="Hyperlink"/>
        </w:rPr>
        <w:t>Table 1a</w:t>
      </w:r>
      <w:bookmarkEnd w:id="0"/>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for Process Heaters</w:t>
      </w:r>
    </w:p>
    <w:p w14:paraId="082BE356" w14:textId="28626E6E" w:rsidR="00002E2D" w:rsidRPr="00DC71B0" w:rsidRDefault="00002E2D" w:rsidP="00002E2D">
      <w:pPr>
        <w:pStyle w:val="APDCompleteStarStyle"/>
      </w:pPr>
      <w:r w:rsidRPr="00DC71B0">
        <w:t>Complete only for sites that are major sources of NOx, as defined in 30 TAC § 117.10, and are located in the Houston/Galveston/Brazoria, Beaumont/Port Arthur Eight-Hour</w:t>
      </w:r>
      <w:r w:rsidR="00B324DF">
        <w:t>,</w:t>
      </w:r>
      <w:r w:rsidRPr="00DC71B0">
        <w:t xml:space="preserve"> or Dallas/Fort Worth Eight-Hour ozone nonattainment areas.</w:t>
      </w:r>
    </w:p>
    <w:p w14:paraId="16BCFFC9" w14:textId="77777777" w:rsidR="00002E2D" w:rsidRPr="00DC71B0" w:rsidRDefault="00002E2D" w:rsidP="00002E2D">
      <w:pPr>
        <w:pStyle w:val="APDBodyBOLDheader"/>
        <w:rPr>
          <w:rFonts w:asciiTheme="majorHAnsi" w:hAnsiTheme="majorHAnsi" w:cstheme="majorHAnsi"/>
        </w:rPr>
      </w:pPr>
      <w:r w:rsidRPr="00DC71B0">
        <w:rPr>
          <w:rFonts w:asciiTheme="majorHAnsi" w:hAnsiTheme="majorHAnsi" w:cstheme="majorHAnsi"/>
        </w:rPr>
        <w:t>Unit ID No.:</w:t>
      </w:r>
    </w:p>
    <w:p w14:paraId="6BAD7591" w14:textId="15418221" w:rsidR="00002E2D" w:rsidRPr="00DC71B0" w:rsidRDefault="00002E2D" w:rsidP="008922F6">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w:t>
      </w:r>
      <w:r w:rsidR="006707C0">
        <w:rPr>
          <w:rFonts w:asciiTheme="majorHAnsi" w:hAnsiTheme="majorHAnsi" w:cstheme="majorHAnsi"/>
        </w:rPr>
        <w:t> </w:t>
      </w:r>
      <w:r w:rsidRPr="00DC71B0">
        <w:rPr>
          <w:rFonts w:asciiTheme="majorHAnsi" w:hAnsiTheme="majorHAnsi" w:cstheme="majorHAnsi"/>
        </w:rPr>
        <w:t>Unit Summary).</w:t>
      </w:r>
    </w:p>
    <w:p w14:paraId="78843AAD" w14:textId="77777777" w:rsidR="00002E2D" w:rsidRPr="00DC71B0" w:rsidRDefault="00002E2D" w:rsidP="008922F6">
      <w:pPr>
        <w:pStyle w:val="APDBodyBOLDheader"/>
        <w:tabs>
          <w:tab w:val="left" w:pos="0"/>
        </w:tabs>
        <w:rPr>
          <w:rFonts w:asciiTheme="majorHAnsi" w:hAnsiTheme="majorHAnsi" w:cstheme="majorHAnsi"/>
        </w:rPr>
      </w:pPr>
      <w:r w:rsidRPr="00DC71B0">
        <w:rPr>
          <w:rFonts w:asciiTheme="majorHAnsi" w:hAnsiTheme="majorHAnsi" w:cstheme="majorHAnsi"/>
        </w:rPr>
        <w:t>SOP/GOP Index No.:</w:t>
      </w:r>
    </w:p>
    <w:p w14:paraId="03CBFA8F" w14:textId="6E224BB6" w:rsidR="00002E2D" w:rsidRPr="006707C0" w:rsidRDefault="00002E2D" w:rsidP="008922F6">
      <w:pPr>
        <w:pStyle w:val="APDBody"/>
        <w:tabs>
          <w:tab w:val="left" w:pos="0"/>
        </w:tabs>
        <w:rPr>
          <w:rStyle w:val="Hyperlink"/>
          <w:color w:val="auto"/>
          <w:u w:val="none"/>
        </w:rPr>
      </w:pPr>
      <w:r w:rsidRPr="00DC71B0">
        <w:rPr>
          <w:rFonts w:asciiTheme="majorHAnsi" w:hAnsiTheme="majorHAnsi" w:cstheme="majorHAnsi"/>
        </w:rPr>
        <w:t>Site operating permit (SOP) applicants should indicate the SOP index number for the unit or group of units (maximum</w:t>
      </w:r>
      <w:r w:rsidR="005612EC">
        <w:rPr>
          <w:rFonts w:asciiTheme="majorHAnsi" w:hAnsiTheme="majorHAnsi" w:cstheme="majorHAnsi"/>
        </w:rPr>
        <w:t> </w:t>
      </w:r>
      <w:r w:rsidRPr="00DC71B0">
        <w:rPr>
          <w:rFonts w:asciiTheme="majorHAnsi" w:hAnsiTheme="majorHAnsi" w:cstheme="majorHAnsi"/>
        </w:rPr>
        <w:t>15</w:t>
      </w:r>
      <w:r w:rsidR="005612EC">
        <w:rPr>
          <w:rFonts w:asciiTheme="majorHAnsi" w:hAnsiTheme="majorHAnsi" w:cstheme="majorHAnsi"/>
        </w:rPr>
        <w:t> </w:t>
      </w:r>
      <w:r w:rsidRPr="00DC71B0">
        <w:rPr>
          <w:rFonts w:asciiTheme="majorHAnsi" w:hAnsiTheme="majorHAnsi" w:cstheme="majorHAnsi"/>
        </w:rPr>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w:t>
      </w:r>
      <w:r w:rsidR="00902D02">
        <w:rPr>
          <w:rFonts w:asciiTheme="majorHAnsi" w:hAnsiTheme="majorHAnsi" w:cstheme="majorHAnsi"/>
        </w:rPr>
        <w:t xml:space="preserve"> c</w:t>
      </w:r>
      <w:r w:rsidR="00416FC5" w:rsidRPr="00DC71B0">
        <w:rPr>
          <w:rFonts w:asciiTheme="majorHAnsi" w:hAnsiTheme="majorHAnsi" w:cstheme="majorHAnsi"/>
        </w:rPr>
        <w:t xml:space="preserve">omplete </w:t>
      </w:r>
      <w:r w:rsidRPr="00DC71B0">
        <w:rPr>
          <w:rFonts w:asciiTheme="majorHAnsi" w:hAnsiTheme="majorHAnsi" w:cstheme="majorHAnsi"/>
        </w:rPr>
        <w:t xml:space="preserve">all applicable GOP attribute information before determining the GOP index number. </w:t>
      </w:r>
      <w:r w:rsidR="00123291" w:rsidRPr="00DE6438">
        <w:rPr>
          <w:rFonts w:asciiTheme="majorHAnsi" w:hAnsiTheme="majorHAnsi" w:cstheme="majorHAnsi"/>
        </w:rPr>
        <w:t xml:space="preserve">For additional information relating to </w:t>
      </w:r>
      <w:r w:rsidR="00123291" w:rsidRPr="00712AEC">
        <w:rPr>
          <w:rFonts w:asciiTheme="majorHAnsi" w:hAnsiTheme="majorHAnsi" w:cstheme="majorHAnsi"/>
        </w:rPr>
        <w:t xml:space="preserve">SOP and GOP index numbers, please see the Completing FOP Applications – Additional Guidance on the TCEQ website at </w:t>
      </w:r>
      <w:hyperlink r:id="rId11" w:tooltip="TCEQ - Completing FOP Applications - Additional Guidance" w:history="1">
        <w:r w:rsidR="00123291" w:rsidRPr="009D4860">
          <w:rPr>
            <w:rStyle w:val="Hyperlink"/>
          </w:rPr>
          <w:t>www.tceq.texas.gov/permitting/air/guidance/titlev/tv_fop_guidance.html</w:t>
        </w:r>
      </w:hyperlink>
      <w:r w:rsidR="00123291" w:rsidRPr="006707C0">
        <w:rPr>
          <w:rStyle w:val="Hyperlink"/>
          <w:color w:val="auto"/>
          <w:u w:val="none"/>
        </w:rPr>
        <w:t>.</w:t>
      </w:r>
    </w:p>
    <w:p w14:paraId="4357EF3B" w14:textId="77777777" w:rsidR="006C00B3" w:rsidRDefault="006C00B3">
      <w:pPr>
        <w:rPr>
          <w:rFonts w:asciiTheme="majorHAnsi" w:hAnsiTheme="majorHAnsi" w:cstheme="majorHAnsi"/>
          <w:b/>
        </w:rPr>
      </w:pPr>
      <w:r>
        <w:rPr>
          <w:rFonts w:asciiTheme="majorHAnsi" w:hAnsiTheme="majorHAnsi" w:cstheme="majorHAnsi"/>
        </w:rPr>
        <w:br w:type="page"/>
      </w:r>
    </w:p>
    <w:p w14:paraId="1F817584" w14:textId="77777777" w:rsidR="00002E2D" w:rsidRPr="00DC71B0" w:rsidRDefault="00002E2D" w:rsidP="008922F6">
      <w:pPr>
        <w:pStyle w:val="APDBodyBOLDheader"/>
        <w:tabs>
          <w:tab w:val="left" w:pos="0"/>
        </w:tabs>
        <w:rPr>
          <w:rFonts w:asciiTheme="majorHAnsi" w:hAnsiTheme="majorHAnsi" w:cstheme="majorHAnsi"/>
        </w:rPr>
      </w:pPr>
      <w:r w:rsidRPr="00DC71B0">
        <w:rPr>
          <w:rFonts w:asciiTheme="majorHAnsi" w:hAnsiTheme="majorHAnsi" w:cstheme="majorHAnsi"/>
        </w:rPr>
        <w:lastRenderedPageBreak/>
        <w:t>Unit Type:</w:t>
      </w:r>
    </w:p>
    <w:p w14:paraId="4485FC94" w14:textId="77777777" w:rsidR="00002E2D" w:rsidRPr="00DC71B0" w:rsidRDefault="00002E2D" w:rsidP="008922F6">
      <w:pPr>
        <w:pStyle w:val="APDBody"/>
        <w:tabs>
          <w:tab w:val="left" w:pos="0"/>
        </w:tabs>
        <w:rPr>
          <w:rFonts w:asciiTheme="majorHAnsi" w:hAnsiTheme="majorHAnsi" w:cstheme="majorHAnsi"/>
        </w:rPr>
      </w:pPr>
      <w:r w:rsidRPr="00DC71B0">
        <w:rPr>
          <w:rFonts w:asciiTheme="majorHAnsi" w:hAnsiTheme="majorHAnsi" w:cstheme="majorHAnsi"/>
        </w:rPr>
        <w:t>Select one of the following types of units from the list below. Enter the code on the form.</w:t>
      </w:r>
    </w:p>
    <w:p w14:paraId="6337995F" w14:textId="77777777" w:rsidR="00002E2D" w:rsidRPr="00DC71B0" w:rsidRDefault="00002E2D"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6703C905"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PRHTR</w:t>
      </w:r>
      <w:r w:rsidRPr="00DC71B0">
        <w:rPr>
          <w:rFonts w:asciiTheme="majorHAnsi" w:hAnsiTheme="majorHAnsi" w:cstheme="majorHAnsi"/>
        </w:rPr>
        <w:tab/>
        <w:t>Process Heater (in the Houston/Galveston/Brazoria ozone nonattainment area this code should not be used to describe pyrolysis reactors)</w:t>
      </w:r>
    </w:p>
    <w:p w14:paraId="1743BA28"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PYRO</w:t>
      </w:r>
      <w:r w:rsidRPr="00DC71B0">
        <w:rPr>
          <w:rFonts w:asciiTheme="majorHAnsi" w:hAnsiTheme="majorHAnsi" w:cstheme="majorHAnsi"/>
        </w:rPr>
        <w:tab/>
        <w:t>Pyrolysis reactors</w:t>
      </w:r>
    </w:p>
    <w:p w14:paraId="1C49553E" w14:textId="77777777" w:rsidR="00A51743" w:rsidRDefault="00002E2D" w:rsidP="001260D6">
      <w:pPr>
        <w:pStyle w:val="APDCodeList"/>
        <w:rPr>
          <w:rFonts w:asciiTheme="majorHAnsi" w:hAnsiTheme="majorHAnsi" w:cstheme="majorHAnsi"/>
        </w:rPr>
      </w:pPr>
      <w:r w:rsidRPr="00DC71B0">
        <w:rPr>
          <w:rFonts w:asciiTheme="majorHAnsi" w:hAnsiTheme="majorHAnsi" w:cstheme="majorHAnsi"/>
        </w:rPr>
        <w:t>BIF</w:t>
      </w:r>
      <w:r w:rsidRPr="00DC71B0">
        <w:rPr>
          <w:rFonts w:asciiTheme="majorHAnsi" w:hAnsiTheme="majorHAnsi" w:cstheme="majorHAnsi"/>
        </w:rPr>
        <w:tab/>
        <w:t>Designated as a Boiler or Industrial Furnace regulated as an existing facility by the EPA in Title</w:t>
      </w:r>
      <w:r w:rsidR="00331C01">
        <w:rPr>
          <w:rFonts w:asciiTheme="majorHAnsi" w:hAnsiTheme="majorHAnsi" w:cstheme="majorHAnsi"/>
        </w:rPr>
        <w:t> </w:t>
      </w:r>
      <w:r w:rsidRPr="00DC71B0">
        <w:rPr>
          <w:rFonts w:asciiTheme="majorHAnsi" w:hAnsiTheme="majorHAnsi" w:cstheme="majorHAnsi"/>
        </w:rPr>
        <w:t>40 Code of Federal Regulations Part 266 (40 CFR Part 266), Subpart H (as was in effect on</w:t>
      </w:r>
      <w:r w:rsidR="00331C01">
        <w:rPr>
          <w:rFonts w:asciiTheme="majorHAnsi" w:hAnsiTheme="majorHAnsi" w:cstheme="majorHAnsi"/>
        </w:rPr>
        <w:t> </w:t>
      </w:r>
      <w:r w:rsidRPr="00DC71B0">
        <w:rPr>
          <w:rFonts w:asciiTheme="majorHAnsi" w:hAnsiTheme="majorHAnsi" w:cstheme="majorHAnsi"/>
        </w:rPr>
        <w:t>June 9, 1993)</w:t>
      </w:r>
    </w:p>
    <w:p w14:paraId="4457F4A7" w14:textId="77777777" w:rsidR="00002E2D" w:rsidRPr="00DC71B0" w:rsidRDefault="00002E2D" w:rsidP="00AA770A">
      <w:pPr>
        <w:pStyle w:val="APDContinueTriangleStyleList"/>
        <w:spacing w:after="0"/>
        <w:rPr>
          <w:rFonts w:asciiTheme="majorHAnsi" w:hAnsiTheme="majorHAnsi" w:cstheme="majorHAnsi"/>
        </w:rPr>
      </w:pPr>
      <w:r w:rsidRPr="00DC71B0">
        <w:rPr>
          <w:rFonts w:asciiTheme="majorHAnsi" w:hAnsiTheme="majorHAnsi" w:cstheme="majorHAnsi"/>
        </w:rPr>
        <w:t>Continue if</w:t>
      </w:r>
      <w:r w:rsidR="00452C40">
        <w:rPr>
          <w:rFonts w:asciiTheme="majorHAnsi" w:hAnsiTheme="majorHAnsi" w:cstheme="majorHAnsi"/>
        </w:rPr>
        <w:t>:</w:t>
      </w:r>
    </w:p>
    <w:p w14:paraId="7D518F4B" w14:textId="77777777" w:rsidR="00A51743" w:rsidRDefault="005D657B" w:rsidP="00331C01">
      <w:pPr>
        <w:pStyle w:val="APDBodyBOLDheader"/>
        <w:numPr>
          <w:ilvl w:val="0"/>
          <w:numId w:val="18"/>
        </w:numPr>
        <w:tabs>
          <w:tab w:val="left" w:pos="547"/>
          <w:tab w:val="left" w:pos="1094"/>
        </w:tabs>
        <w:spacing w:before="0"/>
        <w:ind w:left="1094" w:hanging="547"/>
        <w:rPr>
          <w:rFonts w:asciiTheme="majorHAnsi" w:hAnsiTheme="majorHAnsi" w:cstheme="majorHAnsi"/>
        </w:rPr>
      </w:pPr>
      <w:r>
        <w:rPr>
          <w:rFonts w:asciiTheme="majorHAnsi" w:hAnsiTheme="majorHAnsi" w:cstheme="majorHAnsi"/>
        </w:rPr>
        <w:t xml:space="preserve">The </w:t>
      </w:r>
      <w:r w:rsidR="00452C40" w:rsidRPr="00DC71B0">
        <w:rPr>
          <w:rFonts w:asciiTheme="majorHAnsi" w:hAnsiTheme="majorHAnsi" w:cstheme="majorHAnsi"/>
        </w:rPr>
        <w:t xml:space="preserve">“Unit Type” is “PRHTR;” or </w:t>
      </w:r>
    </w:p>
    <w:p w14:paraId="3CF32E47" w14:textId="77777777" w:rsidR="00452C40" w:rsidRPr="00A51743" w:rsidRDefault="00A51743" w:rsidP="007162AD">
      <w:pPr>
        <w:pStyle w:val="APDBodyBOLDheader"/>
        <w:numPr>
          <w:ilvl w:val="0"/>
          <w:numId w:val="18"/>
        </w:numPr>
        <w:tabs>
          <w:tab w:val="left" w:pos="547"/>
          <w:tab w:val="left" w:pos="1094"/>
        </w:tabs>
        <w:spacing w:before="0"/>
        <w:ind w:left="1094" w:hanging="547"/>
        <w:rPr>
          <w:rFonts w:asciiTheme="majorHAnsi" w:hAnsiTheme="majorHAnsi" w:cstheme="majorHAnsi"/>
        </w:rPr>
      </w:pPr>
      <w:r w:rsidRPr="00A51743">
        <w:rPr>
          <w:rFonts w:asciiTheme="majorHAnsi" w:hAnsiTheme="majorHAnsi" w:cstheme="majorHAnsi"/>
        </w:rPr>
        <w:t>I</w:t>
      </w:r>
      <w:r w:rsidR="00452C40" w:rsidRPr="00A51743">
        <w:rPr>
          <w:rFonts w:asciiTheme="majorHAnsi" w:hAnsiTheme="majorHAnsi" w:cstheme="majorHAnsi"/>
        </w:rPr>
        <w:t xml:space="preserve">f </w:t>
      </w:r>
      <w:r w:rsidR="005D657B">
        <w:rPr>
          <w:rFonts w:asciiTheme="majorHAnsi" w:hAnsiTheme="majorHAnsi" w:cstheme="majorHAnsi"/>
        </w:rPr>
        <w:t xml:space="preserve">the </w:t>
      </w:r>
      <w:r w:rsidR="00452C40" w:rsidRPr="00A51743">
        <w:rPr>
          <w:rFonts w:asciiTheme="majorHAnsi" w:hAnsiTheme="majorHAnsi" w:cstheme="majorHAnsi"/>
        </w:rPr>
        <w:t>“Unit Type” is “PYRO” or</w:t>
      </w:r>
      <w:r>
        <w:rPr>
          <w:rFonts w:asciiTheme="majorHAnsi" w:hAnsiTheme="majorHAnsi" w:cstheme="majorHAnsi"/>
        </w:rPr>
        <w:t xml:space="preserve"> </w:t>
      </w:r>
      <w:r w:rsidR="00452C40" w:rsidRPr="00A51743">
        <w:rPr>
          <w:rFonts w:asciiTheme="majorHAnsi" w:hAnsiTheme="majorHAnsi" w:cstheme="majorHAnsi"/>
        </w:rPr>
        <w:t>“BIF” and the site is located in the Houston/Galveston/Brazoria ozone nonattainment area.</w:t>
      </w:r>
    </w:p>
    <w:p w14:paraId="58432159" w14:textId="77777777" w:rsidR="00002E2D" w:rsidRPr="00DC71B0" w:rsidRDefault="00002E2D" w:rsidP="008922F6">
      <w:pPr>
        <w:pStyle w:val="APDBodyBOLDheader"/>
        <w:tabs>
          <w:tab w:val="left" w:pos="0"/>
        </w:tabs>
        <w:rPr>
          <w:rFonts w:asciiTheme="majorHAnsi" w:hAnsiTheme="majorHAnsi" w:cstheme="majorHAnsi"/>
        </w:rPr>
      </w:pPr>
      <w:bookmarkStart w:id="1" w:name="_Hlk51742205"/>
      <w:r w:rsidRPr="00DC71B0">
        <w:rPr>
          <w:rFonts w:asciiTheme="majorHAnsi" w:hAnsiTheme="majorHAnsi" w:cstheme="majorHAnsi"/>
        </w:rPr>
        <w:t>Maximum Rated Capacity</w:t>
      </w:r>
      <w:bookmarkEnd w:id="1"/>
      <w:r w:rsidRPr="00DC71B0">
        <w:rPr>
          <w:rFonts w:asciiTheme="majorHAnsi" w:hAnsiTheme="majorHAnsi" w:cstheme="majorHAnsi"/>
        </w:rPr>
        <w:t>:</w:t>
      </w:r>
    </w:p>
    <w:p w14:paraId="22633F15" w14:textId="77777777" w:rsidR="00002E2D" w:rsidRPr="00DC71B0" w:rsidRDefault="00002E2D" w:rsidP="008922F6">
      <w:pPr>
        <w:pStyle w:val="APDBody"/>
        <w:tabs>
          <w:tab w:val="left" w:pos="0"/>
        </w:tabs>
        <w:rPr>
          <w:rFonts w:asciiTheme="majorHAnsi" w:hAnsiTheme="majorHAnsi" w:cstheme="majorHAnsi"/>
        </w:rPr>
      </w:pPr>
      <w:r w:rsidRPr="00DC71B0">
        <w:rPr>
          <w:rFonts w:asciiTheme="majorHAnsi" w:hAnsiTheme="majorHAnsi" w:cstheme="majorHAnsi"/>
        </w:rPr>
        <w:t>Select one of the following ranges for maximum rated capacity (MRC), as defined in 30 TAC Chapter 117. Enter the code on the form.</w:t>
      </w:r>
    </w:p>
    <w:p w14:paraId="5477C3BF" w14:textId="77777777" w:rsidR="00002E2D" w:rsidRPr="006E6FBA" w:rsidRDefault="00002E2D" w:rsidP="008922F6">
      <w:pPr>
        <w:pStyle w:val="APDBodyBOLDheader"/>
        <w:tabs>
          <w:tab w:val="left" w:pos="0"/>
        </w:tabs>
        <w:rPr>
          <w:rFonts w:asciiTheme="majorHAnsi" w:hAnsiTheme="majorHAnsi" w:cstheme="majorHAnsi"/>
          <w:b w:val="0"/>
          <w:bCs/>
        </w:rPr>
      </w:pPr>
      <w:r w:rsidRPr="006E6FBA">
        <w:rPr>
          <w:rFonts w:asciiTheme="majorHAnsi" w:hAnsiTheme="majorHAnsi" w:cstheme="majorHAnsi"/>
          <w:b w:val="0"/>
          <w:bCs/>
        </w:rPr>
        <w:t xml:space="preserve">For units in SOP applications: </w:t>
      </w:r>
    </w:p>
    <w:p w14:paraId="119D5C4B" w14:textId="77777777" w:rsidR="00002E2D" w:rsidRPr="00DC71B0" w:rsidRDefault="00002E2D" w:rsidP="008922F6">
      <w:pPr>
        <w:pStyle w:val="APDIndentbodyheader"/>
        <w:tabs>
          <w:tab w:val="left" w:pos="0"/>
          <w:tab w:val="left" w:pos="547"/>
        </w:tabs>
        <w:spacing w:before="120"/>
        <w:ind w:left="0"/>
        <w:rPr>
          <w:rFonts w:asciiTheme="majorHAnsi" w:hAnsiTheme="majorHAnsi" w:cstheme="majorHAnsi"/>
        </w:rPr>
      </w:pPr>
      <w:r w:rsidRPr="00DC71B0">
        <w:rPr>
          <w:rFonts w:asciiTheme="majorHAnsi" w:hAnsiTheme="majorHAnsi" w:cstheme="majorHAnsi"/>
        </w:rPr>
        <w:t>“Unit Type” is “PRHTR” and located in the Beaumont/Port Arthur ozone nonattainment area:</w:t>
      </w:r>
    </w:p>
    <w:p w14:paraId="5CEA5DEB" w14:textId="77777777" w:rsidR="00002E2D" w:rsidRPr="00DC71B0" w:rsidRDefault="00002E2D"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2621F4D0"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40-</w:t>
      </w:r>
      <w:r w:rsidRPr="00DC71B0">
        <w:rPr>
          <w:rFonts w:asciiTheme="majorHAnsi" w:hAnsiTheme="majorHAnsi" w:cstheme="majorHAnsi"/>
        </w:rPr>
        <w:tab/>
        <w:t>MRC is less than 40 MMBtu/</w:t>
      </w:r>
      <w:proofErr w:type="spellStart"/>
      <w:r w:rsidRPr="00DC71B0">
        <w:rPr>
          <w:rFonts w:asciiTheme="majorHAnsi" w:hAnsiTheme="majorHAnsi" w:cstheme="majorHAnsi"/>
        </w:rPr>
        <w:t>hr</w:t>
      </w:r>
      <w:proofErr w:type="spellEnd"/>
    </w:p>
    <w:p w14:paraId="7FB98D60"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40-100</w:t>
      </w:r>
      <w:r w:rsidRPr="00DC71B0">
        <w:rPr>
          <w:rFonts w:asciiTheme="majorHAnsi" w:hAnsiTheme="majorHAnsi" w:cstheme="majorHAnsi"/>
        </w:rPr>
        <w:tab/>
        <w:t>MRC is greater than or equal to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100 MMBtu/</w:t>
      </w:r>
      <w:proofErr w:type="spellStart"/>
      <w:r w:rsidRPr="00DC71B0">
        <w:rPr>
          <w:rFonts w:asciiTheme="majorHAnsi" w:hAnsiTheme="majorHAnsi" w:cstheme="majorHAnsi"/>
        </w:rPr>
        <w:t>hr</w:t>
      </w:r>
      <w:proofErr w:type="spellEnd"/>
    </w:p>
    <w:p w14:paraId="0C719676"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100-200</w:t>
      </w:r>
      <w:r w:rsidRPr="00DC71B0">
        <w:rPr>
          <w:rFonts w:asciiTheme="majorHAnsi" w:hAnsiTheme="majorHAnsi" w:cstheme="majorHAnsi"/>
        </w:rPr>
        <w:tab/>
        <w:t>MRC is greater than or equal to 100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200 MMBtu/</w:t>
      </w:r>
      <w:proofErr w:type="spellStart"/>
      <w:r w:rsidRPr="00DC71B0">
        <w:rPr>
          <w:rFonts w:asciiTheme="majorHAnsi" w:hAnsiTheme="majorHAnsi" w:cstheme="majorHAnsi"/>
        </w:rPr>
        <w:t>hr</w:t>
      </w:r>
      <w:proofErr w:type="spellEnd"/>
    </w:p>
    <w:p w14:paraId="7CA5E6A2"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200+</w:t>
      </w:r>
      <w:r w:rsidRPr="00DC71B0">
        <w:rPr>
          <w:rFonts w:asciiTheme="majorHAnsi" w:hAnsiTheme="majorHAnsi" w:cstheme="majorHAnsi"/>
        </w:rPr>
        <w:tab/>
        <w:t>MRC is greater than or equal to 200 MMBtu/</w:t>
      </w:r>
      <w:proofErr w:type="spellStart"/>
      <w:r w:rsidRPr="00DC71B0">
        <w:rPr>
          <w:rFonts w:asciiTheme="majorHAnsi" w:hAnsiTheme="majorHAnsi" w:cstheme="majorHAnsi"/>
        </w:rPr>
        <w:t>hr</w:t>
      </w:r>
      <w:proofErr w:type="spellEnd"/>
    </w:p>
    <w:p w14:paraId="038DD6C8" w14:textId="4215701D" w:rsidR="00002E2D" w:rsidRPr="00DC71B0" w:rsidRDefault="00002E2D" w:rsidP="008922F6">
      <w:pPr>
        <w:pStyle w:val="APDIndentbodyheader"/>
        <w:tabs>
          <w:tab w:val="left" w:pos="0"/>
          <w:tab w:val="left" w:pos="547"/>
        </w:tabs>
        <w:ind w:left="0"/>
        <w:rPr>
          <w:rFonts w:asciiTheme="majorHAnsi" w:hAnsiTheme="majorHAnsi" w:cstheme="majorHAnsi"/>
        </w:rPr>
      </w:pPr>
      <w:r w:rsidRPr="00DC71B0">
        <w:rPr>
          <w:rFonts w:asciiTheme="majorHAnsi" w:hAnsiTheme="majorHAnsi" w:cstheme="majorHAnsi"/>
        </w:rPr>
        <w:t>“Unit Type” is “PRHTR</w:t>
      </w:r>
      <w:r w:rsidR="003104B4" w:rsidRPr="00DC71B0">
        <w:rPr>
          <w:rFonts w:asciiTheme="majorHAnsi" w:hAnsiTheme="majorHAnsi" w:cstheme="majorHAnsi"/>
        </w:rPr>
        <w:t>,”</w:t>
      </w:r>
      <w:r w:rsidRPr="00DC71B0">
        <w:rPr>
          <w:rFonts w:asciiTheme="majorHAnsi" w:hAnsiTheme="majorHAnsi" w:cstheme="majorHAnsi"/>
        </w:rPr>
        <w:t xml:space="preserve"> “PYRO</w:t>
      </w:r>
      <w:r w:rsidR="003104B4" w:rsidRPr="00DC71B0">
        <w:rPr>
          <w:rFonts w:asciiTheme="majorHAnsi" w:hAnsiTheme="majorHAnsi" w:cstheme="majorHAnsi"/>
        </w:rPr>
        <w:t>,”</w:t>
      </w:r>
      <w:r w:rsidRPr="00DC71B0">
        <w:rPr>
          <w:rFonts w:asciiTheme="majorHAnsi" w:hAnsiTheme="majorHAnsi" w:cstheme="majorHAnsi"/>
        </w:rPr>
        <w:t xml:space="preserve"> or “BIF” and located in the Houston/Galveston/Brazoria ozone nonattainment area:</w:t>
      </w:r>
    </w:p>
    <w:p w14:paraId="737568EE"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A476E17"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w:t>
      </w:r>
      <w:r w:rsidRPr="00DC71B0">
        <w:rPr>
          <w:rFonts w:asciiTheme="majorHAnsi" w:hAnsiTheme="majorHAnsi" w:cstheme="majorHAnsi"/>
        </w:rPr>
        <w:tab/>
        <w:t>MRC is less than or equal to 2 MMBtu/</w:t>
      </w:r>
      <w:proofErr w:type="spellStart"/>
      <w:r w:rsidRPr="00DC71B0">
        <w:rPr>
          <w:rFonts w:asciiTheme="majorHAnsi" w:hAnsiTheme="majorHAnsi" w:cstheme="majorHAnsi"/>
        </w:rPr>
        <w:t>hr</w:t>
      </w:r>
      <w:proofErr w:type="spellEnd"/>
    </w:p>
    <w:p w14:paraId="21575D78"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2-40</w:t>
      </w:r>
      <w:r w:rsidRPr="00DC71B0">
        <w:rPr>
          <w:rFonts w:asciiTheme="majorHAnsi" w:hAnsiTheme="majorHAnsi" w:cstheme="majorHAnsi"/>
        </w:rPr>
        <w:tab/>
        <w:t>MRC is greater than 2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40 MMBtu/</w:t>
      </w:r>
      <w:proofErr w:type="spellStart"/>
      <w:r w:rsidRPr="00DC71B0">
        <w:rPr>
          <w:rFonts w:asciiTheme="majorHAnsi" w:hAnsiTheme="majorHAnsi" w:cstheme="majorHAnsi"/>
        </w:rPr>
        <w:t>hr</w:t>
      </w:r>
      <w:proofErr w:type="spellEnd"/>
    </w:p>
    <w:p w14:paraId="2FA99AD6"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40-100</w:t>
      </w:r>
      <w:r w:rsidRPr="00DC71B0">
        <w:rPr>
          <w:rFonts w:asciiTheme="majorHAnsi" w:hAnsiTheme="majorHAnsi" w:cstheme="majorHAnsi"/>
        </w:rPr>
        <w:tab/>
        <w:t>MRC is greater than or equal to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100 MMBtu/</w:t>
      </w:r>
      <w:proofErr w:type="spellStart"/>
      <w:r w:rsidRPr="00DC71B0">
        <w:rPr>
          <w:rFonts w:asciiTheme="majorHAnsi" w:hAnsiTheme="majorHAnsi" w:cstheme="majorHAnsi"/>
        </w:rPr>
        <w:t>hr</w:t>
      </w:r>
      <w:proofErr w:type="spellEnd"/>
    </w:p>
    <w:p w14:paraId="18A5E035"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100-200</w:t>
      </w:r>
      <w:r w:rsidRPr="00DC71B0">
        <w:rPr>
          <w:rFonts w:asciiTheme="majorHAnsi" w:hAnsiTheme="majorHAnsi" w:cstheme="majorHAnsi"/>
        </w:rPr>
        <w:tab/>
        <w:t>MRC is greater than or equal to 100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200 MMBtu/</w:t>
      </w:r>
      <w:proofErr w:type="spellStart"/>
      <w:r w:rsidRPr="00DC71B0">
        <w:rPr>
          <w:rFonts w:asciiTheme="majorHAnsi" w:hAnsiTheme="majorHAnsi" w:cstheme="majorHAnsi"/>
        </w:rPr>
        <w:t>hr</w:t>
      </w:r>
      <w:proofErr w:type="spellEnd"/>
    </w:p>
    <w:p w14:paraId="2E970A47"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200+</w:t>
      </w:r>
      <w:r w:rsidRPr="00DC71B0">
        <w:rPr>
          <w:rFonts w:asciiTheme="majorHAnsi" w:hAnsiTheme="majorHAnsi" w:cstheme="majorHAnsi"/>
        </w:rPr>
        <w:tab/>
        <w:t>MRC is greater than or equal to 200 MMBtu/</w:t>
      </w:r>
      <w:proofErr w:type="spellStart"/>
      <w:r w:rsidRPr="00DC71B0">
        <w:rPr>
          <w:rFonts w:asciiTheme="majorHAnsi" w:hAnsiTheme="majorHAnsi" w:cstheme="majorHAnsi"/>
        </w:rPr>
        <w:t>hr</w:t>
      </w:r>
      <w:proofErr w:type="spellEnd"/>
    </w:p>
    <w:p w14:paraId="73720208" w14:textId="77777777" w:rsidR="00002E2D" w:rsidRPr="00DC71B0" w:rsidRDefault="00002E2D" w:rsidP="008922F6">
      <w:pPr>
        <w:pStyle w:val="APDIndentbodyheader"/>
        <w:tabs>
          <w:tab w:val="left" w:pos="0"/>
          <w:tab w:val="left" w:pos="547"/>
        </w:tabs>
        <w:spacing w:before="120"/>
        <w:ind w:left="0"/>
        <w:rPr>
          <w:rFonts w:asciiTheme="majorHAnsi" w:hAnsiTheme="majorHAnsi" w:cstheme="majorHAnsi"/>
        </w:rPr>
      </w:pPr>
      <w:r w:rsidRPr="00DC71B0">
        <w:rPr>
          <w:rFonts w:asciiTheme="majorHAnsi" w:hAnsiTheme="majorHAnsi" w:cstheme="majorHAnsi"/>
        </w:rPr>
        <w:t>“Unit Type” is “PRHTR” and located in the Dallas/Fort Worth Eight-Hour ozone nonattainment area:</w:t>
      </w:r>
    </w:p>
    <w:p w14:paraId="77C4EE9B"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9029A55"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5-</w:t>
      </w:r>
      <w:r w:rsidRPr="00DC71B0">
        <w:rPr>
          <w:rFonts w:asciiTheme="majorHAnsi" w:hAnsiTheme="majorHAnsi" w:cstheme="majorHAnsi"/>
        </w:rPr>
        <w:tab/>
        <w:t>MRC is less than or equal to 5 MMBtu/</w:t>
      </w:r>
      <w:proofErr w:type="spellStart"/>
      <w:r w:rsidRPr="00DC71B0">
        <w:rPr>
          <w:rFonts w:asciiTheme="majorHAnsi" w:hAnsiTheme="majorHAnsi" w:cstheme="majorHAnsi"/>
        </w:rPr>
        <w:t>hr</w:t>
      </w:r>
      <w:proofErr w:type="spellEnd"/>
    </w:p>
    <w:p w14:paraId="53E7899E"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5-40</w:t>
      </w:r>
      <w:r w:rsidRPr="00DC71B0">
        <w:rPr>
          <w:rFonts w:asciiTheme="majorHAnsi" w:hAnsiTheme="majorHAnsi" w:cstheme="majorHAnsi"/>
        </w:rPr>
        <w:tab/>
        <w:t>MRC is greater than 5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40 MMBtu/</w:t>
      </w:r>
      <w:proofErr w:type="spellStart"/>
      <w:r w:rsidRPr="00DC71B0">
        <w:rPr>
          <w:rFonts w:asciiTheme="majorHAnsi" w:hAnsiTheme="majorHAnsi" w:cstheme="majorHAnsi"/>
        </w:rPr>
        <w:t>hr</w:t>
      </w:r>
      <w:proofErr w:type="spellEnd"/>
    </w:p>
    <w:p w14:paraId="74974AF6"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40-100</w:t>
      </w:r>
      <w:r w:rsidRPr="00DC71B0">
        <w:rPr>
          <w:rFonts w:asciiTheme="majorHAnsi" w:hAnsiTheme="majorHAnsi" w:cstheme="majorHAnsi"/>
        </w:rPr>
        <w:tab/>
        <w:t>MRC is greater than or equal to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100 MMBtu/</w:t>
      </w:r>
      <w:proofErr w:type="spellStart"/>
      <w:r w:rsidRPr="00DC71B0">
        <w:rPr>
          <w:rFonts w:asciiTheme="majorHAnsi" w:hAnsiTheme="majorHAnsi" w:cstheme="majorHAnsi"/>
        </w:rPr>
        <w:t>hr</w:t>
      </w:r>
      <w:proofErr w:type="spellEnd"/>
    </w:p>
    <w:p w14:paraId="6B23B407"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100+</w:t>
      </w:r>
      <w:r w:rsidRPr="00DC71B0">
        <w:rPr>
          <w:rFonts w:asciiTheme="majorHAnsi" w:hAnsiTheme="majorHAnsi" w:cstheme="majorHAnsi"/>
        </w:rPr>
        <w:tab/>
        <w:t>MRC is greater than or equal to 100 MMBtu/</w:t>
      </w:r>
      <w:proofErr w:type="spellStart"/>
      <w:r w:rsidRPr="00DC71B0">
        <w:rPr>
          <w:rFonts w:asciiTheme="majorHAnsi" w:hAnsiTheme="majorHAnsi" w:cstheme="majorHAnsi"/>
        </w:rPr>
        <w:t>hr</w:t>
      </w:r>
      <w:proofErr w:type="spellEnd"/>
    </w:p>
    <w:p w14:paraId="53BE69B3" w14:textId="77777777" w:rsidR="00002E2D" w:rsidRPr="00DC71B0" w:rsidRDefault="00002E2D" w:rsidP="008922F6">
      <w:pPr>
        <w:pStyle w:val="APDIndentbodyheader"/>
        <w:tabs>
          <w:tab w:val="left" w:pos="0"/>
          <w:tab w:val="left" w:pos="547"/>
        </w:tabs>
        <w:spacing w:before="120"/>
        <w:ind w:left="0"/>
        <w:rPr>
          <w:rFonts w:asciiTheme="majorHAnsi" w:hAnsiTheme="majorHAnsi" w:cstheme="majorHAnsi"/>
        </w:rPr>
      </w:pPr>
      <w:bookmarkStart w:id="2" w:name="_Hlk51742310"/>
      <w:r w:rsidRPr="00DC71B0">
        <w:rPr>
          <w:rFonts w:asciiTheme="majorHAnsi" w:hAnsiTheme="majorHAnsi" w:cstheme="majorHAnsi"/>
        </w:rPr>
        <w:t>For units in GOP applications</w:t>
      </w:r>
      <w:bookmarkEnd w:id="2"/>
      <w:r w:rsidRPr="00DC71B0">
        <w:rPr>
          <w:rFonts w:asciiTheme="majorHAnsi" w:hAnsiTheme="majorHAnsi" w:cstheme="majorHAnsi"/>
        </w:rPr>
        <w:t>:</w:t>
      </w:r>
    </w:p>
    <w:p w14:paraId="4AE9ED4A"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0B4113FE"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G2-</w:t>
      </w:r>
      <w:r w:rsidRPr="00DC71B0">
        <w:rPr>
          <w:rFonts w:asciiTheme="majorHAnsi" w:hAnsiTheme="majorHAnsi" w:cstheme="majorHAnsi"/>
        </w:rPr>
        <w:tab/>
        <w:t>MRC is less than or equal to 2 MMBtu/</w:t>
      </w:r>
      <w:proofErr w:type="spellStart"/>
      <w:r w:rsidRPr="00DC71B0">
        <w:rPr>
          <w:rFonts w:asciiTheme="majorHAnsi" w:hAnsiTheme="majorHAnsi" w:cstheme="majorHAnsi"/>
        </w:rPr>
        <w:t>hr</w:t>
      </w:r>
      <w:proofErr w:type="spellEnd"/>
    </w:p>
    <w:p w14:paraId="5AA89E29" w14:textId="40D313AC"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G2-5</w:t>
      </w:r>
      <w:r w:rsidRPr="00DC71B0">
        <w:rPr>
          <w:rFonts w:asciiTheme="majorHAnsi" w:hAnsiTheme="majorHAnsi" w:cstheme="majorHAnsi"/>
        </w:rPr>
        <w:tab/>
        <w:t>MRC is greater than 2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w:t>
      </w:r>
      <w:r w:rsidR="003742CB">
        <w:rPr>
          <w:rFonts w:asciiTheme="majorHAnsi" w:hAnsiTheme="majorHAnsi" w:cstheme="majorHAnsi"/>
        </w:rPr>
        <w:t xml:space="preserve">than </w:t>
      </w:r>
      <w:r w:rsidR="00BA60B0">
        <w:rPr>
          <w:rFonts w:asciiTheme="majorHAnsi" w:hAnsiTheme="majorHAnsi" w:cstheme="majorHAnsi"/>
        </w:rPr>
        <w:t>or equal to</w:t>
      </w:r>
      <w:r w:rsidRPr="00DC71B0">
        <w:rPr>
          <w:rFonts w:asciiTheme="majorHAnsi" w:hAnsiTheme="majorHAnsi" w:cstheme="majorHAnsi"/>
        </w:rPr>
        <w:t xml:space="preserve"> 5 MMBtu/</w:t>
      </w:r>
      <w:proofErr w:type="spellStart"/>
      <w:r w:rsidRPr="00DC71B0">
        <w:rPr>
          <w:rFonts w:asciiTheme="majorHAnsi" w:hAnsiTheme="majorHAnsi" w:cstheme="majorHAnsi"/>
        </w:rPr>
        <w:t>hr</w:t>
      </w:r>
      <w:proofErr w:type="spellEnd"/>
    </w:p>
    <w:p w14:paraId="11C86F27"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G5-40</w:t>
      </w:r>
      <w:r w:rsidRPr="00DC71B0">
        <w:rPr>
          <w:rFonts w:asciiTheme="majorHAnsi" w:hAnsiTheme="majorHAnsi" w:cstheme="majorHAnsi"/>
        </w:rPr>
        <w:tab/>
        <w:t>MRC is greater than 5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40 MMBtu/</w:t>
      </w:r>
      <w:proofErr w:type="spellStart"/>
      <w:r w:rsidRPr="00DC71B0">
        <w:rPr>
          <w:rFonts w:asciiTheme="majorHAnsi" w:hAnsiTheme="majorHAnsi" w:cstheme="majorHAnsi"/>
        </w:rPr>
        <w:t>hr</w:t>
      </w:r>
      <w:proofErr w:type="spellEnd"/>
    </w:p>
    <w:p w14:paraId="515CDFFE" w14:textId="77777777" w:rsidR="006C00B3" w:rsidRDefault="00002E2D" w:rsidP="005A3DB5">
      <w:pPr>
        <w:pStyle w:val="APDCodeList"/>
        <w:rPr>
          <w:rFonts w:asciiTheme="majorHAnsi" w:hAnsiTheme="majorHAnsi" w:cstheme="majorHAnsi"/>
        </w:rPr>
      </w:pPr>
      <w:r w:rsidRPr="00DC71B0">
        <w:rPr>
          <w:rFonts w:asciiTheme="majorHAnsi" w:hAnsiTheme="majorHAnsi" w:cstheme="majorHAnsi"/>
        </w:rPr>
        <w:t>G40-100</w:t>
      </w:r>
      <w:r w:rsidRPr="00DC71B0">
        <w:rPr>
          <w:rFonts w:asciiTheme="majorHAnsi" w:hAnsiTheme="majorHAnsi" w:cstheme="majorHAnsi"/>
        </w:rPr>
        <w:tab/>
        <w:t>MRC is greater than or equal to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100 MMBtu/</w:t>
      </w:r>
      <w:proofErr w:type="spellStart"/>
      <w:r w:rsidRPr="00DC71B0">
        <w:rPr>
          <w:rFonts w:asciiTheme="majorHAnsi" w:hAnsiTheme="majorHAnsi" w:cstheme="majorHAnsi"/>
        </w:rPr>
        <w:t>hr</w:t>
      </w:r>
      <w:proofErr w:type="spellEnd"/>
    </w:p>
    <w:p w14:paraId="7309EF48" w14:textId="77777777" w:rsidR="006C00B3" w:rsidRDefault="006C00B3">
      <w:pPr>
        <w:rPr>
          <w:rFonts w:asciiTheme="majorHAnsi" w:hAnsiTheme="majorHAnsi" w:cstheme="majorHAnsi"/>
        </w:rPr>
      </w:pPr>
      <w:r>
        <w:rPr>
          <w:rFonts w:asciiTheme="majorHAnsi" w:hAnsiTheme="majorHAnsi" w:cstheme="majorHAnsi"/>
        </w:rPr>
        <w:br w:type="page"/>
      </w:r>
    </w:p>
    <w:p w14:paraId="5F2D9F74" w14:textId="77777777" w:rsidR="00452C40" w:rsidRPr="005728A6" w:rsidRDefault="006C00B3" w:rsidP="00331C01">
      <w:pPr>
        <w:pStyle w:val="ListBullet2"/>
        <w:tabs>
          <w:tab w:val="left" w:pos="547"/>
        </w:tabs>
        <w:spacing w:before="120" w:after="0"/>
        <w:ind w:left="547" w:hanging="547"/>
        <w:rPr>
          <w:b/>
        </w:rPr>
      </w:pPr>
      <w:r>
        <w:rPr>
          <w:b/>
        </w:rPr>
        <w:lastRenderedPageBreak/>
        <w:t>Do not c</w:t>
      </w:r>
      <w:r w:rsidR="006C695F" w:rsidRPr="005728A6">
        <w:rPr>
          <w:b/>
        </w:rPr>
        <w:t>ontinue if:</w:t>
      </w:r>
    </w:p>
    <w:p w14:paraId="744B208B" w14:textId="77777777" w:rsidR="006C695F" w:rsidRDefault="005D657B" w:rsidP="005A3DB5">
      <w:pPr>
        <w:pStyle w:val="APDCodeList"/>
        <w:numPr>
          <w:ilvl w:val="0"/>
          <w:numId w:val="21"/>
        </w:numPr>
        <w:tabs>
          <w:tab w:val="clear" w:pos="720"/>
          <w:tab w:val="clear" w:pos="2160"/>
          <w:tab w:val="left" w:pos="547"/>
          <w:tab w:val="left" w:pos="1094"/>
        </w:tabs>
        <w:ind w:left="1094" w:hanging="547"/>
        <w:rPr>
          <w:rFonts w:asciiTheme="majorHAnsi" w:hAnsiTheme="majorHAnsi" w:cstheme="majorHAnsi"/>
          <w:b/>
        </w:rPr>
      </w:pPr>
      <w:r>
        <w:rPr>
          <w:rFonts w:asciiTheme="majorHAnsi" w:hAnsiTheme="majorHAnsi" w:cstheme="majorHAnsi"/>
          <w:b/>
        </w:rPr>
        <w:t xml:space="preserve">The </w:t>
      </w:r>
      <w:r w:rsidR="006C695F" w:rsidRPr="005728A6">
        <w:rPr>
          <w:rFonts w:asciiTheme="majorHAnsi" w:hAnsiTheme="majorHAnsi" w:cstheme="majorHAnsi"/>
          <w:b/>
        </w:rPr>
        <w:t>“Maximum Rated Capacity” is “2-” or “G2-;” or</w:t>
      </w:r>
    </w:p>
    <w:p w14:paraId="012C7AEC" w14:textId="77777777" w:rsidR="006C695F" w:rsidRPr="005728A6" w:rsidRDefault="006C695F" w:rsidP="005A3DB5">
      <w:pPr>
        <w:pStyle w:val="APDCodeList"/>
        <w:numPr>
          <w:ilvl w:val="0"/>
          <w:numId w:val="21"/>
        </w:numPr>
        <w:tabs>
          <w:tab w:val="clear" w:pos="720"/>
          <w:tab w:val="clear" w:pos="2160"/>
          <w:tab w:val="left" w:pos="547"/>
          <w:tab w:val="left" w:pos="1094"/>
        </w:tabs>
        <w:ind w:left="1094" w:hanging="547"/>
        <w:rPr>
          <w:rFonts w:asciiTheme="majorHAnsi" w:hAnsiTheme="majorHAnsi" w:cstheme="majorHAnsi"/>
          <w:b/>
        </w:rPr>
      </w:pPr>
      <w:r>
        <w:rPr>
          <w:rFonts w:asciiTheme="majorHAnsi" w:hAnsiTheme="majorHAnsi" w:cstheme="majorHAnsi"/>
          <w:b/>
        </w:rPr>
        <w:t>I</w:t>
      </w:r>
      <w:r w:rsidRPr="005728A6">
        <w:rPr>
          <w:rFonts w:asciiTheme="majorHAnsi" w:hAnsiTheme="majorHAnsi" w:cstheme="majorHAnsi"/>
          <w:b/>
        </w:rPr>
        <w:t>f the site is located in the Dallas/Fort Worth Eight- Hour ozone nonattainment area and “Maximum Rated Capacity” is “5-” or “G2-5;” or</w:t>
      </w:r>
    </w:p>
    <w:p w14:paraId="22745E1E" w14:textId="7FEE5F4B" w:rsidR="006C695F" w:rsidRPr="005728A6" w:rsidRDefault="006C695F" w:rsidP="005A3DB5">
      <w:pPr>
        <w:pStyle w:val="APDCodeList"/>
        <w:numPr>
          <w:ilvl w:val="0"/>
          <w:numId w:val="21"/>
        </w:numPr>
        <w:tabs>
          <w:tab w:val="clear" w:pos="720"/>
          <w:tab w:val="clear" w:pos="2160"/>
          <w:tab w:val="left" w:pos="547"/>
          <w:tab w:val="left" w:pos="1094"/>
        </w:tabs>
        <w:ind w:left="1094" w:hanging="547"/>
        <w:rPr>
          <w:rFonts w:asciiTheme="majorHAnsi" w:hAnsiTheme="majorHAnsi" w:cstheme="majorHAnsi"/>
          <w:b/>
        </w:rPr>
      </w:pPr>
      <w:r>
        <w:rPr>
          <w:rFonts w:asciiTheme="majorHAnsi" w:hAnsiTheme="majorHAnsi" w:cstheme="majorHAnsi"/>
          <w:b/>
        </w:rPr>
        <w:t>I</w:t>
      </w:r>
      <w:r w:rsidRPr="005728A6">
        <w:rPr>
          <w:rFonts w:asciiTheme="majorHAnsi" w:hAnsiTheme="majorHAnsi" w:cstheme="majorHAnsi"/>
          <w:b/>
        </w:rPr>
        <w:t>f the site is located in the Beaumont/Port Arthur ozone nonattainment area and “Unit Type” is “PRHTR” and “Maximum Rated Capacity” is “40-”</w:t>
      </w:r>
      <w:r w:rsidR="00BA60B0">
        <w:rPr>
          <w:rFonts w:asciiTheme="majorHAnsi" w:hAnsiTheme="majorHAnsi" w:cstheme="majorHAnsi"/>
          <w:b/>
        </w:rPr>
        <w:t xml:space="preserve"> or “G2-,” “G2-5,” or “G5-40.”</w:t>
      </w:r>
    </w:p>
    <w:p w14:paraId="654B6915" w14:textId="77777777" w:rsidR="00002E2D" w:rsidRPr="00DC71B0" w:rsidRDefault="00002E2D" w:rsidP="00002E2D">
      <w:pPr>
        <w:pStyle w:val="APDCompleteStarStyle"/>
      </w:pPr>
      <w:r w:rsidRPr="00DC71B0">
        <w:t>Complete “RACT Date Placed in Service” only if the site is located in the Beaumont/Port Arthur ozone nonattainment area.</w:t>
      </w:r>
    </w:p>
    <w:p w14:paraId="190B3B36" w14:textId="77777777" w:rsidR="00002E2D" w:rsidRPr="00DC71B0" w:rsidRDefault="00002E2D" w:rsidP="00383C20">
      <w:pPr>
        <w:pStyle w:val="APDBodyBOLDheader"/>
        <w:tabs>
          <w:tab w:val="left" w:pos="0"/>
        </w:tabs>
        <w:rPr>
          <w:rFonts w:asciiTheme="majorHAnsi" w:hAnsiTheme="majorHAnsi" w:cstheme="majorHAnsi"/>
        </w:rPr>
      </w:pPr>
      <w:r w:rsidRPr="00DC71B0">
        <w:rPr>
          <w:rFonts w:asciiTheme="majorHAnsi" w:hAnsiTheme="majorHAnsi" w:cstheme="majorHAnsi"/>
        </w:rPr>
        <w:t>RACT Date Placed in Service:</w:t>
      </w:r>
    </w:p>
    <w:p w14:paraId="5EEB4A0D" w14:textId="77777777" w:rsidR="00002E2D" w:rsidRPr="00DC71B0" w:rsidRDefault="00002E2D" w:rsidP="00383C20">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for the date placed in service. Enter the code on the form.</w:t>
      </w:r>
    </w:p>
    <w:p w14:paraId="0384C0D9"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16E6FC6F"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92-</w:t>
      </w:r>
      <w:r w:rsidRPr="00DC71B0">
        <w:rPr>
          <w:rFonts w:asciiTheme="majorHAnsi" w:hAnsiTheme="majorHAnsi" w:cstheme="majorHAnsi"/>
        </w:rPr>
        <w:tab/>
        <w:t>On or before November 15, 1992</w:t>
      </w:r>
    </w:p>
    <w:p w14:paraId="366ED942" w14:textId="63332F40"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92-93</w:t>
      </w:r>
      <w:r w:rsidRPr="00DC71B0">
        <w:rPr>
          <w:rFonts w:asciiTheme="majorHAnsi" w:hAnsiTheme="majorHAnsi" w:cstheme="majorHAnsi"/>
        </w:rPr>
        <w:tab/>
        <w:t>After November 15, 1992</w:t>
      </w:r>
      <w:r w:rsidR="00B324DF">
        <w:rPr>
          <w:rFonts w:asciiTheme="majorHAnsi" w:hAnsiTheme="majorHAnsi" w:cstheme="majorHAnsi"/>
        </w:rPr>
        <w:t>,</w:t>
      </w:r>
      <w:r w:rsidRPr="00DC71B0">
        <w:rPr>
          <w:rFonts w:asciiTheme="majorHAnsi" w:hAnsiTheme="majorHAnsi" w:cstheme="majorHAnsi"/>
        </w:rPr>
        <w:t xml:space="preserve"> and on or before June 9, 1993</w:t>
      </w:r>
    </w:p>
    <w:p w14:paraId="559195E3" w14:textId="3DA89A6B"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93-FCD</w:t>
      </w:r>
      <w:r w:rsidRPr="00DC71B0">
        <w:rPr>
          <w:rFonts w:asciiTheme="majorHAnsi" w:hAnsiTheme="majorHAnsi" w:cstheme="majorHAnsi"/>
        </w:rPr>
        <w:tab/>
        <w:t>After June 9, 1993</w:t>
      </w:r>
      <w:r w:rsidR="00B324DF">
        <w:rPr>
          <w:rFonts w:asciiTheme="majorHAnsi" w:hAnsiTheme="majorHAnsi" w:cstheme="majorHAnsi"/>
        </w:rPr>
        <w:t>,</w:t>
      </w:r>
      <w:r w:rsidRPr="00DC71B0">
        <w:rPr>
          <w:rFonts w:asciiTheme="majorHAnsi" w:hAnsiTheme="majorHAnsi" w:cstheme="majorHAnsi"/>
        </w:rPr>
        <w:t xml:space="preserve"> and before the final compliance date specified in 30 TAC §§ 117.9000, 117.9010, 117.9020(1)</w:t>
      </w:r>
    </w:p>
    <w:p w14:paraId="4D30084B" w14:textId="0838D17E"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FCD+</w:t>
      </w:r>
      <w:r w:rsidRPr="00DC71B0">
        <w:rPr>
          <w:rFonts w:asciiTheme="majorHAnsi" w:hAnsiTheme="majorHAnsi" w:cstheme="majorHAnsi"/>
        </w:rPr>
        <w:tab/>
        <w:t>After June 9, 1993</w:t>
      </w:r>
      <w:r w:rsidR="00B324DF">
        <w:rPr>
          <w:rFonts w:asciiTheme="majorHAnsi" w:hAnsiTheme="majorHAnsi" w:cstheme="majorHAnsi"/>
        </w:rPr>
        <w:t>,</w:t>
      </w:r>
      <w:r w:rsidRPr="00DC71B0">
        <w:rPr>
          <w:rFonts w:asciiTheme="majorHAnsi" w:hAnsiTheme="majorHAnsi" w:cstheme="majorHAnsi"/>
        </w:rPr>
        <w:t xml:space="preserve"> and on or after the final compliance date specified in 30 TAC §§ 117.9000, 117.9010, 117.9020(1)</w:t>
      </w:r>
    </w:p>
    <w:p w14:paraId="46BB157D" w14:textId="77777777" w:rsidR="00002E2D" w:rsidRPr="00DC71B0" w:rsidRDefault="00002E2D" w:rsidP="00002E2D">
      <w:pPr>
        <w:pStyle w:val="APDCompleteStarStyle"/>
      </w:pPr>
      <w:r w:rsidRPr="00DC71B0">
        <w:t>Complete “Functionally Identical Replacement” only if “RACT Date Placed in Service” is “93-FCD.”</w:t>
      </w:r>
    </w:p>
    <w:p w14:paraId="12343A00" w14:textId="77777777" w:rsidR="00002E2D" w:rsidRPr="00DC71B0" w:rsidRDefault="00002E2D" w:rsidP="00383C20">
      <w:pPr>
        <w:pStyle w:val="APDBodyBOLDheader"/>
        <w:tabs>
          <w:tab w:val="left" w:pos="0"/>
        </w:tabs>
        <w:rPr>
          <w:rFonts w:asciiTheme="majorHAnsi" w:hAnsiTheme="majorHAnsi" w:cstheme="majorHAnsi"/>
        </w:rPr>
      </w:pPr>
      <w:r w:rsidRPr="00DC71B0">
        <w:rPr>
          <w:rFonts w:asciiTheme="majorHAnsi" w:hAnsiTheme="majorHAnsi" w:cstheme="majorHAnsi"/>
        </w:rPr>
        <w:t>Functionally Identical Replacement:</w:t>
      </w:r>
    </w:p>
    <w:p w14:paraId="78A1C074" w14:textId="77777777" w:rsidR="00002E2D" w:rsidRPr="00DC71B0" w:rsidRDefault="00002E2D" w:rsidP="00383C20">
      <w:pPr>
        <w:pStyle w:val="APDBody"/>
        <w:tabs>
          <w:tab w:val="left" w:pos="0"/>
        </w:tabs>
        <w:rPr>
          <w:rFonts w:asciiTheme="majorHAnsi" w:hAnsiTheme="majorHAnsi" w:cstheme="majorHAnsi"/>
        </w:rPr>
      </w:pPr>
      <w:r w:rsidRPr="00DC71B0">
        <w:rPr>
          <w:rFonts w:asciiTheme="majorHAnsi" w:hAnsiTheme="majorHAnsi" w:cstheme="majorHAnsi"/>
        </w:rPr>
        <w:t>Select one of the following codes to identify if the unit is a functionally identical replacement for a unit or group of units that were in service on or before November 15, 1992. Enter the code on the form.</w:t>
      </w:r>
    </w:p>
    <w:p w14:paraId="706113A8"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73BF510" w14:textId="77777777" w:rsidR="00002E2D" w:rsidRPr="00DC71B0" w:rsidRDefault="00002E2D" w:rsidP="005A3DB5">
      <w:pPr>
        <w:pStyle w:val="APDCodeList"/>
        <w:rPr>
          <w:rFonts w:asciiTheme="majorHAnsi" w:hAnsiTheme="majorHAnsi" w:cstheme="majorHAnsi"/>
        </w:rPr>
      </w:pPr>
      <w:proofErr w:type="gramStart"/>
      <w:r w:rsidRPr="00DC71B0">
        <w:rPr>
          <w:rFonts w:asciiTheme="majorHAnsi" w:hAnsiTheme="majorHAnsi" w:cstheme="majorHAnsi"/>
        </w:rPr>
        <w:t>YES</w:t>
      </w:r>
      <w:proofErr w:type="gramEnd"/>
      <w:r w:rsidRPr="00DC71B0">
        <w:rPr>
          <w:rFonts w:asciiTheme="majorHAnsi" w:hAnsiTheme="majorHAnsi" w:cstheme="majorHAnsi"/>
        </w:rPr>
        <w:tab/>
        <w:t>Unit is a functionally identical replacement</w:t>
      </w:r>
    </w:p>
    <w:p w14:paraId="32354958"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NO</w:t>
      </w:r>
      <w:r w:rsidRPr="00DC71B0">
        <w:rPr>
          <w:rFonts w:asciiTheme="majorHAnsi" w:hAnsiTheme="majorHAnsi" w:cstheme="majorHAnsi"/>
        </w:rPr>
        <w:tab/>
        <w:t>Unit is not a functionally identical replacement</w:t>
      </w:r>
    </w:p>
    <w:p w14:paraId="414B8957" w14:textId="77777777" w:rsidR="00002E2D" w:rsidRPr="00DC71B0" w:rsidRDefault="00002E2D" w:rsidP="000E4846">
      <w:pPr>
        <w:pStyle w:val="APDContinueTriangleStyleList"/>
        <w:rPr>
          <w:rFonts w:asciiTheme="majorHAnsi" w:hAnsiTheme="majorHAnsi" w:cstheme="majorHAnsi"/>
        </w:rPr>
      </w:pPr>
      <w:r w:rsidRPr="00DC71B0">
        <w:rPr>
          <w:rFonts w:asciiTheme="majorHAnsi" w:hAnsiTheme="majorHAnsi" w:cstheme="majorHAnsi"/>
        </w:rPr>
        <w:t>Do not continue if located in the Beaumont/Port Arthur ozone nonattainment area and “RACT Date Placed in Service” is “93-FCD” and “Functionally Identical Replacement” is “NO,” or “RACT Date Placed in Service” is “92-93” or “FCD+.”</w:t>
      </w:r>
    </w:p>
    <w:p w14:paraId="09E09651" w14:textId="77777777" w:rsidR="00002E2D" w:rsidRPr="00DC71B0" w:rsidRDefault="00002E2D" w:rsidP="00383C20">
      <w:pPr>
        <w:pStyle w:val="APDBodyBOLDheader"/>
        <w:tabs>
          <w:tab w:val="left" w:pos="0"/>
        </w:tabs>
        <w:rPr>
          <w:rFonts w:asciiTheme="majorHAnsi" w:hAnsiTheme="majorHAnsi" w:cstheme="majorHAnsi"/>
        </w:rPr>
      </w:pPr>
      <w:r w:rsidRPr="00DC71B0">
        <w:rPr>
          <w:rFonts w:asciiTheme="majorHAnsi" w:hAnsiTheme="majorHAnsi" w:cstheme="majorHAnsi"/>
        </w:rPr>
        <w:t>Fuel Types:</w:t>
      </w:r>
    </w:p>
    <w:p w14:paraId="07F34E63" w14:textId="77777777" w:rsidR="00002E2D" w:rsidRPr="00DC71B0" w:rsidRDefault="00002E2D" w:rsidP="00383C20">
      <w:pPr>
        <w:pStyle w:val="APDBody"/>
        <w:tabs>
          <w:tab w:val="left" w:pos="0"/>
        </w:tabs>
        <w:rPr>
          <w:rFonts w:asciiTheme="majorHAnsi" w:hAnsiTheme="majorHAnsi" w:cstheme="majorHAnsi"/>
        </w:rPr>
      </w:pPr>
      <w:r w:rsidRPr="00DC71B0">
        <w:rPr>
          <w:rFonts w:asciiTheme="majorHAnsi" w:hAnsiTheme="majorHAnsi" w:cstheme="majorHAnsi"/>
        </w:rPr>
        <w:t>Select one or more of the following options for fuel type(s) fired. Enter the code(s) on the form.</w:t>
      </w:r>
    </w:p>
    <w:p w14:paraId="1C12DED8" w14:textId="77777777" w:rsidR="00002E2D" w:rsidRPr="00DC71B0" w:rsidRDefault="00002E2D" w:rsidP="00383C2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units in SOP applications:</w:t>
      </w:r>
    </w:p>
    <w:p w14:paraId="1AFBC4C3" w14:textId="77777777" w:rsidR="00002E2D" w:rsidRPr="00DC71B0" w:rsidRDefault="00002E2D"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47B81A79"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NG</w:t>
      </w:r>
      <w:r w:rsidRPr="00DC71B0">
        <w:rPr>
          <w:rFonts w:asciiTheme="majorHAnsi" w:hAnsiTheme="majorHAnsi" w:cstheme="majorHAnsi"/>
        </w:rPr>
        <w:tab/>
        <w:t>Natural gas</w:t>
      </w:r>
    </w:p>
    <w:p w14:paraId="7CDC5F2F"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GS</w:t>
      </w:r>
      <w:r w:rsidRPr="00DC71B0">
        <w:rPr>
          <w:rFonts w:asciiTheme="majorHAnsi" w:hAnsiTheme="majorHAnsi" w:cstheme="majorHAnsi"/>
        </w:rPr>
        <w:tab/>
        <w:t>Gaseous fuel other than natural gas landfill gas or renewable non-fossil fuel gases (refinery gas or mixtures, etc.)</w:t>
      </w:r>
    </w:p>
    <w:p w14:paraId="2D3C7600"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LFG</w:t>
      </w:r>
      <w:r w:rsidRPr="00DC71B0">
        <w:rPr>
          <w:rFonts w:asciiTheme="majorHAnsi" w:hAnsiTheme="majorHAnsi" w:cstheme="majorHAnsi"/>
        </w:rPr>
        <w:tab/>
        <w:t>Landfill Gas</w:t>
      </w:r>
    </w:p>
    <w:p w14:paraId="0387B572"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ORG</w:t>
      </w:r>
      <w:r w:rsidRPr="00DC71B0">
        <w:rPr>
          <w:rFonts w:asciiTheme="majorHAnsi" w:hAnsiTheme="majorHAnsi" w:cstheme="majorHAnsi"/>
        </w:rPr>
        <w:tab/>
        <w:t>Renewable non-fossil fuel gas other than landfill gas</w:t>
      </w:r>
    </w:p>
    <w:p w14:paraId="084888EB"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LQD</w:t>
      </w:r>
      <w:r w:rsidRPr="00DC71B0">
        <w:rPr>
          <w:rFonts w:asciiTheme="majorHAnsi" w:hAnsiTheme="majorHAnsi" w:cstheme="majorHAnsi"/>
        </w:rPr>
        <w:tab/>
        <w:t>Liquid</w:t>
      </w:r>
    </w:p>
    <w:p w14:paraId="61B9632E"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WD</w:t>
      </w:r>
      <w:r w:rsidRPr="00DC71B0">
        <w:rPr>
          <w:rFonts w:asciiTheme="majorHAnsi" w:hAnsiTheme="majorHAnsi" w:cstheme="majorHAnsi"/>
        </w:rPr>
        <w:tab/>
        <w:t>Wood</w:t>
      </w:r>
    </w:p>
    <w:p w14:paraId="201EC450"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H50-A</w:t>
      </w:r>
      <w:r w:rsidRPr="00DC71B0">
        <w:rPr>
          <w:rFonts w:asciiTheme="majorHAnsi" w:hAnsiTheme="majorHAnsi" w:cstheme="majorHAnsi"/>
        </w:rPr>
        <w:tab/>
        <w:t>Gaseous fuel containing more than 50% hydrogen (H2) by volume, over an annual basis, fuel gas sampled and analyzed every three hours</w:t>
      </w:r>
    </w:p>
    <w:p w14:paraId="575DFA6B"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H50-8</w:t>
      </w:r>
      <w:r w:rsidRPr="00DC71B0">
        <w:rPr>
          <w:rFonts w:asciiTheme="majorHAnsi" w:hAnsiTheme="majorHAnsi" w:cstheme="majorHAnsi"/>
        </w:rPr>
        <w:tab/>
        <w:t>Gaseous fuel containing more than 50% H2 by volume, over an eight-hour period, fuel gas sampled and analyzed every three hours</w:t>
      </w:r>
    </w:p>
    <w:p w14:paraId="4B5CAE0B"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SLD</w:t>
      </w:r>
      <w:r w:rsidRPr="00DC71B0">
        <w:rPr>
          <w:rFonts w:asciiTheme="majorHAnsi" w:hAnsiTheme="majorHAnsi" w:cstheme="majorHAnsi"/>
        </w:rPr>
        <w:tab/>
        <w:t>Solid fuel other than wood</w:t>
      </w:r>
    </w:p>
    <w:p w14:paraId="3D8DA74D" w14:textId="77777777" w:rsidR="006C00B3" w:rsidRDefault="006C00B3">
      <w:pPr>
        <w:rPr>
          <w:rFonts w:asciiTheme="majorHAnsi" w:hAnsiTheme="majorHAnsi" w:cstheme="majorHAnsi"/>
        </w:rPr>
      </w:pPr>
      <w:r>
        <w:rPr>
          <w:rFonts w:asciiTheme="majorHAnsi" w:hAnsiTheme="majorHAnsi" w:cstheme="majorHAnsi"/>
        </w:rPr>
        <w:br w:type="page"/>
      </w:r>
    </w:p>
    <w:p w14:paraId="7E57FD80" w14:textId="77777777" w:rsidR="00002E2D" w:rsidRPr="00DC71B0" w:rsidRDefault="00002E2D" w:rsidP="00383C2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lastRenderedPageBreak/>
        <w:t>For units in GOP applications:</w:t>
      </w:r>
    </w:p>
    <w:p w14:paraId="10A5111D"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278E3185" w14:textId="798E5918"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NG</w:t>
      </w:r>
      <w:r w:rsidRPr="00DC71B0">
        <w:rPr>
          <w:rFonts w:asciiTheme="majorHAnsi" w:hAnsiTheme="majorHAnsi" w:cstheme="majorHAnsi"/>
        </w:rPr>
        <w:tab/>
        <w:t>Natural gas (GOP applicants for GOPs 511, 512, 513</w:t>
      </w:r>
      <w:r w:rsidR="00B324DF">
        <w:rPr>
          <w:rFonts w:asciiTheme="majorHAnsi" w:hAnsiTheme="majorHAnsi" w:cstheme="majorHAnsi"/>
        </w:rPr>
        <w:t>,</w:t>
      </w:r>
      <w:r w:rsidRPr="00DC71B0">
        <w:rPr>
          <w:rFonts w:asciiTheme="majorHAnsi" w:hAnsiTheme="majorHAnsi" w:cstheme="majorHAnsi"/>
        </w:rPr>
        <w:t xml:space="preserve"> and 514 must select this option, other applicants may select this option)</w:t>
      </w:r>
    </w:p>
    <w:p w14:paraId="150E86B2"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GS</w:t>
      </w:r>
      <w:r w:rsidRPr="00DC71B0">
        <w:rPr>
          <w:rFonts w:asciiTheme="majorHAnsi" w:hAnsiTheme="majorHAnsi" w:cstheme="majorHAnsi"/>
        </w:rPr>
        <w:tab/>
        <w:t>Gaseous fuel other than natural gas landfill gas or renewable non-fossil fuel gases (refinery gas or mixtures, etc.)</w:t>
      </w:r>
    </w:p>
    <w:p w14:paraId="69522A29"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LFG</w:t>
      </w:r>
      <w:r w:rsidRPr="00DC71B0">
        <w:rPr>
          <w:rFonts w:asciiTheme="majorHAnsi" w:hAnsiTheme="majorHAnsi" w:cstheme="majorHAnsi"/>
        </w:rPr>
        <w:tab/>
        <w:t>Landfill Gas</w:t>
      </w:r>
    </w:p>
    <w:p w14:paraId="10285C63"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ORG</w:t>
      </w:r>
      <w:r w:rsidRPr="00DC71B0">
        <w:rPr>
          <w:rFonts w:asciiTheme="majorHAnsi" w:hAnsiTheme="majorHAnsi" w:cstheme="majorHAnsi"/>
        </w:rPr>
        <w:tab/>
        <w:t>Renewable non-fossil fuel gas other than landfill gas</w:t>
      </w:r>
    </w:p>
    <w:p w14:paraId="776CEE3F" w14:textId="77777777" w:rsidR="006E16A0" w:rsidRDefault="00002E2D" w:rsidP="00DE00A2">
      <w:pPr>
        <w:pStyle w:val="APDIndentbodyheader"/>
        <w:tabs>
          <w:tab w:val="left" w:pos="0"/>
        </w:tabs>
        <w:spacing w:before="120" w:after="240"/>
        <w:ind w:left="0"/>
      </w:pPr>
      <w:r w:rsidRPr="00DC71B0">
        <w:rPr>
          <w:rFonts w:asciiTheme="majorHAnsi" w:hAnsiTheme="majorHAnsi" w:cstheme="majorHAnsi"/>
        </w:rPr>
        <w:t>If a fuel-firing option consists of multiple fuel types being combusted simultaneously, enter the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Caption w:val="Example of Fuel-firing Options Table"/>
        <w:tblDescription w:val="If a fuel-firing option consists of multiple fuel types being combusted simultaneously, enter the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w:tblPr>
      <w:tblGrid>
        <w:gridCol w:w="2833"/>
        <w:gridCol w:w="2022"/>
        <w:gridCol w:w="1149"/>
        <w:gridCol w:w="1763"/>
        <w:gridCol w:w="1593"/>
      </w:tblGrid>
      <w:tr w:rsidR="003416DA" w:rsidRPr="00DC71B0" w14:paraId="52117031" w14:textId="77777777" w:rsidTr="00C3489A">
        <w:trPr>
          <w:cantSplit/>
          <w:tblHeader/>
          <w:jc w:val="center"/>
        </w:trPr>
        <w:tc>
          <w:tcPr>
            <w:tcW w:w="2833" w:type="dxa"/>
            <w:tcBorders>
              <w:right w:val="double" w:sz="4" w:space="0" w:color="auto"/>
            </w:tcBorders>
            <w:vAlign w:val="center"/>
          </w:tcPr>
          <w:p w14:paraId="28FCCE24" w14:textId="77777777" w:rsidR="003416DA" w:rsidRPr="00DC71B0" w:rsidRDefault="003416DA" w:rsidP="005C4BB6">
            <w:pPr>
              <w:pStyle w:val="APDBody"/>
              <w:ind w:left="161" w:firstLine="161"/>
              <w:rPr>
                <w:rFonts w:asciiTheme="majorHAnsi" w:hAnsiTheme="majorHAnsi" w:cstheme="majorHAnsi"/>
                <w:b/>
              </w:rPr>
            </w:pPr>
            <w:r w:rsidRPr="00DC71B0">
              <w:rPr>
                <w:rFonts w:asciiTheme="majorHAnsi" w:hAnsiTheme="majorHAnsi" w:cstheme="majorHAnsi"/>
                <w:b/>
              </w:rPr>
              <w:t>Example:</w:t>
            </w:r>
          </w:p>
        </w:tc>
        <w:tc>
          <w:tcPr>
            <w:tcW w:w="2022"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57CFA3F" w14:textId="77777777" w:rsidR="003416DA" w:rsidRPr="00DC71B0" w:rsidRDefault="003416DA" w:rsidP="005C4BB6">
            <w:pPr>
              <w:pStyle w:val="APDBody"/>
              <w:jc w:val="center"/>
              <w:rPr>
                <w:rFonts w:asciiTheme="majorHAnsi" w:hAnsiTheme="majorHAnsi" w:cstheme="majorHAnsi"/>
                <w:b/>
              </w:rPr>
            </w:pPr>
            <w:r w:rsidRPr="00DC71B0">
              <w:rPr>
                <w:rFonts w:asciiTheme="majorHAnsi" w:hAnsiTheme="majorHAnsi" w:cstheme="majorHAnsi"/>
                <w:b/>
              </w:rPr>
              <w:t>SOP Index No.</w:t>
            </w:r>
          </w:p>
        </w:tc>
        <w:tc>
          <w:tcPr>
            <w:tcW w:w="114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8FB16" w14:textId="77777777" w:rsidR="003416DA" w:rsidRPr="00DC71B0" w:rsidRDefault="003416DA" w:rsidP="005C4BB6">
            <w:pPr>
              <w:pStyle w:val="APDBody"/>
              <w:jc w:val="center"/>
              <w:rPr>
                <w:rFonts w:asciiTheme="majorHAnsi" w:hAnsiTheme="majorHAnsi" w:cstheme="majorHAnsi"/>
                <w:b/>
              </w:rPr>
            </w:pPr>
          </w:p>
        </w:tc>
        <w:tc>
          <w:tcPr>
            <w:tcW w:w="176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5374F" w14:textId="77777777" w:rsidR="003416DA" w:rsidRPr="00DC71B0" w:rsidRDefault="003416DA" w:rsidP="005C4BB6">
            <w:pPr>
              <w:pStyle w:val="APDBody"/>
              <w:jc w:val="center"/>
              <w:rPr>
                <w:rFonts w:asciiTheme="majorHAnsi" w:hAnsiTheme="majorHAnsi" w:cstheme="majorHAnsi"/>
                <w:b/>
              </w:rPr>
            </w:pPr>
            <w:r w:rsidRPr="00DC71B0">
              <w:rPr>
                <w:rFonts w:asciiTheme="majorHAnsi" w:hAnsiTheme="majorHAnsi" w:cstheme="majorHAnsi"/>
                <w:b/>
              </w:rPr>
              <w:t>Fuel Type(s)</w:t>
            </w:r>
          </w:p>
        </w:tc>
        <w:tc>
          <w:tcPr>
            <w:tcW w:w="1593"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587B401" w14:textId="77777777" w:rsidR="003416DA" w:rsidRPr="00DC71B0" w:rsidRDefault="003416DA" w:rsidP="005C4BB6">
            <w:pPr>
              <w:pStyle w:val="APDBody"/>
              <w:jc w:val="center"/>
              <w:rPr>
                <w:rFonts w:asciiTheme="majorHAnsi" w:hAnsiTheme="majorHAnsi" w:cstheme="majorHAnsi"/>
                <w:b/>
              </w:rPr>
            </w:pPr>
          </w:p>
        </w:tc>
      </w:tr>
      <w:tr w:rsidR="003416DA" w:rsidRPr="00DC71B0" w14:paraId="7B5D2678" w14:textId="77777777" w:rsidTr="00C3489A">
        <w:trPr>
          <w:cantSplit/>
          <w:tblHeader/>
          <w:jc w:val="center"/>
        </w:trPr>
        <w:tc>
          <w:tcPr>
            <w:tcW w:w="2833" w:type="dxa"/>
            <w:tcBorders>
              <w:right w:val="double" w:sz="4" w:space="0" w:color="auto"/>
            </w:tcBorders>
            <w:vAlign w:val="center"/>
          </w:tcPr>
          <w:p w14:paraId="0209DBE0" w14:textId="77777777" w:rsidR="003416DA" w:rsidRPr="00DC71B0" w:rsidRDefault="003416DA" w:rsidP="005C4BB6">
            <w:pPr>
              <w:pStyle w:val="APDBody"/>
              <w:ind w:left="161" w:firstLine="161"/>
              <w:rPr>
                <w:rFonts w:asciiTheme="majorHAnsi" w:hAnsiTheme="majorHAnsi" w:cstheme="majorHAnsi"/>
              </w:rPr>
            </w:pPr>
            <w:r w:rsidRPr="00DC71B0">
              <w:rPr>
                <w:rFonts w:asciiTheme="majorHAnsi" w:hAnsiTheme="majorHAnsi" w:cstheme="majorHAnsi"/>
              </w:rPr>
              <w:t>Fuel-firing Option A:</w:t>
            </w:r>
          </w:p>
        </w:tc>
        <w:tc>
          <w:tcPr>
            <w:tcW w:w="2022" w:type="dxa"/>
            <w:tcBorders>
              <w:top w:val="single" w:sz="4" w:space="0" w:color="auto"/>
              <w:left w:val="double" w:sz="4" w:space="0" w:color="auto"/>
              <w:bottom w:val="single" w:sz="4" w:space="0" w:color="auto"/>
              <w:right w:val="single" w:sz="4" w:space="0" w:color="auto"/>
            </w:tcBorders>
            <w:vAlign w:val="center"/>
          </w:tcPr>
          <w:p w14:paraId="4F44CC35"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R7ICI-1</w:t>
            </w:r>
          </w:p>
        </w:tc>
        <w:tc>
          <w:tcPr>
            <w:tcW w:w="1149" w:type="dxa"/>
            <w:tcBorders>
              <w:top w:val="single" w:sz="4" w:space="0" w:color="auto"/>
              <w:left w:val="single" w:sz="4" w:space="0" w:color="auto"/>
              <w:bottom w:val="single" w:sz="4" w:space="0" w:color="auto"/>
              <w:right w:val="single" w:sz="4" w:space="0" w:color="auto"/>
            </w:tcBorders>
            <w:vAlign w:val="center"/>
          </w:tcPr>
          <w:p w14:paraId="1D5AF110"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GS</w:t>
            </w:r>
          </w:p>
        </w:tc>
        <w:tc>
          <w:tcPr>
            <w:tcW w:w="1763" w:type="dxa"/>
            <w:tcBorders>
              <w:top w:val="single" w:sz="4" w:space="0" w:color="auto"/>
              <w:left w:val="single" w:sz="4" w:space="0" w:color="auto"/>
              <w:bottom w:val="single" w:sz="4" w:space="0" w:color="auto"/>
              <w:right w:val="single" w:sz="4" w:space="0" w:color="auto"/>
            </w:tcBorders>
            <w:vAlign w:val="center"/>
          </w:tcPr>
          <w:p w14:paraId="44DEBB31"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LQD</w:t>
            </w:r>
          </w:p>
        </w:tc>
        <w:tc>
          <w:tcPr>
            <w:tcW w:w="1593" w:type="dxa"/>
            <w:tcBorders>
              <w:top w:val="single" w:sz="4" w:space="0" w:color="auto"/>
              <w:left w:val="single" w:sz="4" w:space="0" w:color="auto"/>
              <w:bottom w:val="single" w:sz="4" w:space="0" w:color="auto"/>
              <w:right w:val="double" w:sz="4" w:space="0" w:color="auto"/>
            </w:tcBorders>
            <w:vAlign w:val="center"/>
          </w:tcPr>
          <w:p w14:paraId="2FC03279"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WD</w:t>
            </w:r>
          </w:p>
        </w:tc>
      </w:tr>
      <w:tr w:rsidR="003416DA" w:rsidRPr="00DC71B0" w14:paraId="73F911EC" w14:textId="77777777" w:rsidTr="00C3489A">
        <w:trPr>
          <w:cantSplit/>
          <w:tblHeader/>
          <w:jc w:val="center"/>
        </w:trPr>
        <w:tc>
          <w:tcPr>
            <w:tcW w:w="2833" w:type="dxa"/>
            <w:tcBorders>
              <w:right w:val="double" w:sz="4" w:space="0" w:color="auto"/>
            </w:tcBorders>
            <w:vAlign w:val="center"/>
          </w:tcPr>
          <w:p w14:paraId="3F99B39E" w14:textId="77777777" w:rsidR="003416DA" w:rsidRPr="00DC71B0" w:rsidRDefault="003416DA" w:rsidP="005C4BB6">
            <w:pPr>
              <w:pStyle w:val="APDBody"/>
              <w:ind w:left="161" w:firstLine="161"/>
              <w:rPr>
                <w:rFonts w:asciiTheme="majorHAnsi" w:hAnsiTheme="majorHAnsi" w:cstheme="majorHAnsi"/>
              </w:rPr>
            </w:pPr>
            <w:r w:rsidRPr="00DC71B0">
              <w:rPr>
                <w:rFonts w:asciiTheme="majorHAnsi" w:hAnsiTheme="majorHAnsi" w:cstheme="majorHAnsi"/>
              </w:rPr>
              <w:t>Fuel-firing Option B:</w:t>
            </w:r>
          </w:p>
        </w:tc>
        <w:tc>
          <w:tcPr>
            <w:tcW w:w="2022" w:type="dxa"/>
            <w:tcBorders>
              <w:top w:val="single" w:sz="4" w:space="0" w:color="auto"/>
              <w:left w:val="double" w:sz="4" w:space="0" w:color="auto"/>
              <w:bottom w:val="single" w:sz="4" w:space="0" w:color="auto"/>
              <w:right w:val="single" w:sz="4" w:space="0" w:color="auto"/>
            </w:tcBorders>
            <w:vAlign w:val="center"/>
          </w:tcPr>
          <w:p w14:paraId="068C8F24"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R7ICI-2A</w:t>
            </w:r>
          </w:p>
        </w:tc>
        <w:tc>
          <w:tcPr>
            <w:tcW w:w="1149" w:type="dxa"/>
            <w:tcBorders>
              <w:top w:val="single" w:sz="4" w:space="0" w:color="auto"/>
              <w:left w:val="single" w:sz="4" w:space="0" w:color="auto"/>
              <w:bottom w:val="single" w:sz="4" w:space="0" w:color="auto"/>
              <w:right w:val="single" w:sz="4" w:space="0" w:color="auto"/>
            </w:tcBorders>
            <w:vAlign w:val="center"/>
          </w:tcPr>
          <w:p w14:paraId="595C0A47"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GS</w:t>
            </w:r>
          </w:p>
        </w:tc>
        <w:tc>
          <w:tcPr>
            <w:tcW w:w="1763" w:type="dxa"/>
            <w:tcBorders>
              <w:top w:val="single" w:sz="4" w:space="0" w:color="auto"/>
              <w:left w:val="single" w:sz="4" w:space="0" w:color="auto"/>
              <w:bottom w:val="single" w:sz="4" w:space="0" w:color="auto"/>
              <w:right w:val="single" w:sz="4" w:space="0" w:color="auto"/>
            </w:tcBorders>
            <w:vAlign w:val="center"/>
          </w:tcPr>
          <w:p w14:paraId="3B033A75"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LQD</w:t>
            </w:r>
          </w:p>
        </w:tc>
        <w:tc>
          <w:tcPr>
            <w:tcW w:w="1593" w:type="dxa"/>
            <w:tcBorders>
              <w:top w:val="single" w:sz="4" w:space="0" w:color="auto"/>
              <w:left w:val="single" w:sz="4" w:space="0" w:color="auto"/>
              <w:bottom w:val="single" w:sz="4" w:space="0" w:color="auto"/>
              <w:right w:val="double" w:sz="4" w:space="0" w:color="auto"/>
            </w:tcBorders>
            <w:vAlign w:val="center"/>
          </w:tcPr>
          <w:p w14:paraId="05E66D3B"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WD</w:t>
            </w:r>
          </w:p>
        </w:tc>
      </w:tr>
      <w:tr w:rsidR="003416DA" w:rsidRPr="00DC71B0" w14:paraId="6A2F63AA" w14:textId="77777777" w:rsidTr="001173FA">
        <w:trPr>
          <w:cantSplit/>
          <w:tblHeader/>
          <w:jc w:val="center"/>
        </w:trPr>
        <w:tc>
          <w:tcPr>
            <w:tcW w:w="2833" w:type="dxa"/>
            <w:tcBorders>
              <w:right w:val="double" w:sz="4" w:space="0" w:color="auto"/>
            </w:tcBorders>
            <w:vAlign w:val="center"/>
          </w:tcPr>
          <w:p w14:paraId="3531925B" w14:textId="77777777" w:rsidR="003416DA" w:rsidRPr="00DC71B0" w:rsidRDefault="003416DA" w:rsidP="005C4BB6">
            <w:pPr>
              <w:pStyle w:val="APDBody"/>
              <w:ind w:left="161" w:firstLine="161"/>
              <w:rPr>
                <w:rFonts w:asciiTheme="majorHAnsi" w:hAnsiTheme="majorHAnsi" w:cstheme="majorHAnsi"/>
              </w:rPr>
            </w:pPr>
          </w:p>
        </w:tc>
        <w:tc>
          <w:tcPr>
            <w:tcW w:w="2022" w:type="dxa"/>
            <w:tcBorders>
              <w:top w:val="single" w:sz="4" w:space="0" w:color="auto"/>
              <w:left w:val="double" w:sz="4" w:space="0" w:color="auto"/>
              <w:bottom w:val="single" w:sz="4" w:space="0" w:color="auto"/>
              <w:right w:val="single" w:sz="4" w:space="0" w:color="auto"/>
            </w:tcBorders>
            <w:vAlign w:val="center"/>
          </w:tcPr>
          <w:p w14:paraId="49C87E35"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R7ICI-2B</w:t>
            </w:r>
          </w:p>
        </w:tc>
        <w:tc>
          <w:tcPr>
            <w:tcW w:w="1149" w:type="dxa"/>
            <w:tcBorders>
              <w:top w:val="single" w:sz="4" w:space="0" w:color="auto"/>
              <w:left w:val="single" w:sz="4" w:space="0" w:color="auto"/>
              <w:bottom w:val="single" w:sz="4" w:space="0" w:color="auto"/>
              <w:right w:val="single" w:sz="4" w:space="0" w:color="auto"/>
            </w:tcBorders>
            <w:vAlign w:val="center"/>
          </w:tcPr>
          <w:p w14:paraId="2B9E863B"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SLD</w:t>
            </w:r>
          </w:p>
        </w:tc>
        <w:tc>
          <w:tcPr>
            <w:tcW w:w="1763" w:type="dxa"/>
            <w:tcBorders>
              <w:top w:val="single" w:sz="4" w:space="0" w:color="auto"/>
              <w:left w:val="single" w:sz="4" w:space="0" w:color="auto"/>
              <w:bottom w:val="single" w:sz="4" w:space="0" w:color="auto"/>
              <w:right w:val="single" w:sz="4" w:space="0" w:color="auto"/>
            </w:tcBorders>
            <w:vAlign w:val="center"/>
          </w:tcPr>
          <w:p w14:paraId="7B904A24" w14:textId="77777777" w:rsidR="003416DA" w:rsidRPr="00DC71B0" w:rsidRDefault="003416DA" w:rsidP="005C4BB6">
            <w:pPr>
              <w:pStyle w:val="APDBody"/>
              <w:jc w:val="center"/>
              <w:rPr>
                <w:rFonts w:asciiTheme="majorHAnsi" w:hAnsiTheme="majorHAnsi" w:cstheme="majorHAnsi"/>
              </w:rPr>
            </w:pPr>
          </w:p>
        </w:tc>
        <w:tc>
          <w:tcPr>
            <w:tcW w:w="1593" w:type="dxa"/>
            <w:tcBorders>
              <w:top w:val="single" w:sz="4" w:space="0" w:color="auto"/>
              <w:left w:val="single" w:sz="4" w:space="0" w:color="auto"/>
              <w:bottom w:val="single" w:sz="4" w:space="0" w:color="auto"/>
              <w:right w:val="double" w:sz="4" w:space="0" w:color="auto"/>
            </w:tcBorders>
            <w:vAlign w:val="center"/>
          </w:tcPr>
          <w:p w14:paraId="69793692" w14:textId="77777777" w:rsidR="003416DA" w:rsidRPr="00DC71B0" w:rsidRDefault="003416DA" w:rsidP="005C4BB6">
            <w:pPr>
              <w:pStyle w:val="APDBody"/>
              <w:jc w:val="center"/>
              <w:rPr>
                <w:rFonts w:asciiTheme="majorHAnsi" w:hAnsiTheme="majorHAnsi" w:cstheme="majorHAnsi"/>
              </w:rPr>
            </w:pPr>
          </w:p>
        </w:tc>
      </w:tr>
      <w:tr w:rsidR="003416DA" w:rsidRPr="00DC71B0" w14:paraId="373A9C76" w14:textId="77777777" w:rsidTr="001173FA">
        <w:trPr>
          <w:cantSplit/>
          <w:tblHeader/>
          <w:jc w:val="center"/>
        </w:trPr>
        <w:tc>
          <w:tcPr>
            <w:tcW w:w="2833" w:type="dxa"/>
            <w:tcBorders>
              <w:right w:val="double" w:sz="4" w:space="0" w:color="auto"/>
            </w:tcBorders>
            <w:vAlign w:val="center"/>
          </w:tcPr>
          <w:p w14:paraId="370F6ECA" w14:textId="77777777" w:rsidR="003416DA" w:rsidRPr="00DC71B0" w:rsidRDefault="003416DA" w:rsidP="005C4BB6">
            <w:pPr>
              <w:pStyle w:val="APDBody"/>
              <w:ind w:left="161" w:firstLine="161"/>
              <w:rPr>
                <w:rFonts w:asciiTheme="majorHAnsi" w:hAnsiTheme="majorHAnsi" w:cstheme="majorHAnsi"/>
              </w:rPr>
            </w:pPr>
            <w:r w:rsidRPr="00DC71B0">
              <w:rPr>
                <w:rFonts w:asciiTheme="majorHAnsi" w:hAnsiTheme="majorHAnsi" w:cstheme="majorHAnsi"/>
              </w:rPr>
              <w:t>Fuel-firing Option C:</w:t>
            </w:r>
          </w:p>
        </w:tc>
        <w:tc>
          <w:tcPr>
            <w:tcW w:w="2022" w:type="dxa"/>
            <w:tcBorders>
              <w:top w:val="single" w:sz="4" w:space="0" w:color="auto"/>
              <w:left w:val="double" w:sz="4" w:space="0" w:color="auto"/>
              <w:bottom w:val="double" w:sz="6" w:space="0" w:color="auto"/>
              <w:right w:val="single" w:sz="4" w:space="0" w:color="auto"/>
            </w:tcBorders>
            <w:vAlign w:val="center"/>
          </w:tcPr>
          <w:p w14:paraId="661A02CA"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R7ICI-3</w:t>
            </w:r>
          </w:p>
        </w:tc>
        <w:tc>
          <w:tcPr>
            <w:tcW w:w="1149" w:type="dxa"/>
            <w:tcBorders>
              <w:top w:val="single" w:sz="4" w:space="0" w:color="auto"/>
              <w:left w:val="single" w:sz="4" w:space="0" w:color="auto"/>
              <w:bottom w:val="double" w:sz="6" w:space="0" w:color="auto"/>
              <w:right w:val="single" w:sz="4" w:space="0" w:color="auto"/>
            </w:tcBorders>
            <w:vAlign w:val="center"/>
          </w:tcPr>
          <w:p w14:paraId="0EE9DD32" w14:textId="77777777" w:rsidR="003416DA" w:rsidRPr="00DC71B0" w:rsidRDefault="003416DA" w:rsidP="005C4BB6">
            <w:pPr>
              <w:pStyle w:val="APDBody"/>
              <w:jc w:val="center"/>
              <w:rPr>
                <w:rFonts w:asciiTheme="majorHAnsi" w:hAnsiTheme="majorHAnsi" w:cstheme="majorHAnsi"/>
              </w:rPr>
            </w:pPr>
            <w:r w:rsidRPr="00DC71B0">
              <w:rPr>
                <w:rFonts w:asciiTheme="majorHAnsi" w:hAnsiTheme="majorHAnsi" w:cstheme="majorHAnsi"/>
              </w:rPr>
              <w:t>LQD</w:t>
            </w:r>
          </w:p>
        </w:tc>
        <w:tc>
          <w:tcPr>
            <w:tcW w:w="1763" w:type="dxa"/>
            <w:tcBorders>
              <w:top w:val="single" w:sz="4" w:space="0" w:color="auto"/>
              <w:left w:val="single" w:sz="4" w:space="0" w:color="auto"/>
              <w:bottom w:val="double" w:sz="6" w:space="0" w:color="auto"/>
              <w:right w:val="single" w:sz="4" w:space="0" w:color="auto"/>
            </w:tcBorders>
            <w:vAlign w:val="center"/>
          </w:tcPr>
          <w:p w14:paraId="3CD78A86" w14:textId="77777777" w:rsidR="003416DA" w:rsidRPr="00DC71B0" w:rsidRDefault="003416DA" w:rsidP="005C4BB6">
            <w:pPr>
              <w:pStyle w:val="APDBody"/>
              <w:jc w:val="center"/>
              <w:rPr>
                <w:rFonts w:asciiTheme="majorHAnsi" w:hAnsiTheme="majorHAnsi" w:cstheme="majorHAnsi"/>
              </w:rPr>
            </w:pPr>
          </w:p>
        </w:tc>
        <w:tc>
          <w:tcPr>
            <w:tcW w:w="1593" w:type="dxa"/>
            <w:tcBorders>
              <w:top w:val="single" w:sz="4" w:space="0" w:color="auto"/>
              <w:left w:val="single" w:sz="4" w:space="0" w:color="auto"/>
              <w:bottom w:val="double" w:sz="6" w:space="0" w:color="auto"/>
              <w:right w:val="double" w:sz="4" w:space="0" w:color="auto"/>
            </w:tcBorders>
            <w:vAlign w:val="center"/>
          </w:tcPr>
          <w:p w14:paraId="33EA1BD5" w14:textId="77777777" w:rsidR="003416DA" w:rsidRPr="00DC71B0" w:rsidRDefault="003416DA" w:rsidP="001173FA">
            <w:pPr>
              <w:pStyle w:val="APDBody"/>
              <w:spacing w:after="120"/>
              <w:jc w:val="center"/>
              <w:rPr>
                <w:rFonts w:asciiTheme="majorHAnsi" w:hAnsiTheme="majorHAnsi" w:cstheme="majorHAnsi"/>
              </w:rPr>
            </w:pPr>
          </w:p>
        </w:tc>
      </w:tr>
    </w:tbl>
    <w:p w14:paraId="5E912BCA" w14:textId="77777777" w:rsidR="00002E2D" w:rsidRPr="00DC71B0" w:rsidRDefault="00002E2D" w:rsidP="005C4BB6">
      <w:pPr>
        <w:pStyle w:val="APDCompleteStarStyle"/>
        <w:spacing w:before="240"/>
      </w:pPr>
      <w:r w:rsidRPr="00DC71B0">
        <w:t>Complete “Annual Heat Input” only if “Unit Type” is “PRHTR” or “PYRO” or “BIF” and “Maximum Rated Capacity” is “40-100,” “100-200,” “100+” or “200+.”</w:t>
      </w:r>
    </w:p>
    <w:p w14:paraId="0249C4D2" w14:textId="77777777"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Annual Heat Input:</w:t>
      </w:r>
    </w:p>
    <w:p w14:paraId="631056FF" w14:textId="77777777" w:rsidR="00002E2D" w:rsidRPr="00DC71B0"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for the annual heat input. Enter the code on the form.</w:t>
      </w:r>
    </w:p>
    <w:p w14:paraId="04E66303" w14:textId="12A5D32A" w:rsidR="00002E2D" w:rsidRPr="00DC71B0" w:rsidRDefault="00002E2D" w:rsidP="00C24334">
      <w:pPr>
        <w:pStyle w:val="APDIndentbodyheader"/>
        <w:tabs>
          <w:tab w:val="left" w:pos="0"/>
          <w:tab w:val="left" w:pos="547"/>
        </w:tabs>
        <w:spacing w:before="120"/>
        <w:ind w:left="0"/>
        <w:rPr>
          <w:rFonts w:asciiTheme="majorHAnsi" w:hAnsiTheme="majorHAnsi" w:cstheme="majorHAnsi"/>
        </w:rPr>
      </w:pPr>
      <w:r w:rsidRPr="00DC71B0">
        <w:rPr>
          <w:rFonts w:asciiTheme="majorHAnsi" w:hAnsiTheme="majorHAnsi" w:cstheme="majorHAnsi"/>
        </w:rPr>
        <w:t>“Unit Type” is “PRHTR</w:t>
      </w:r>
      <w:r w:rsidR="003104B4" w:rsidRPr="00DC71B0">
        <w:rPr>
          <w:rFonts w:asciiTheme="majorHAnsi" w:hAnsiTheme="majorHAnsi" w:cstheme="majorHAnsi"/>
        </w:rPr>
        <w:t>,”</w:t>
      </w:r>
      <w:r w:rsidRPr="00DC71B0">
        <w:rPr>
          <w:rFonts w:asciiTheme="majorHAnsi" w:hAnsiTheme="majorHAnsi" w:cstheme="majorHAnsi"/>
        </w:rPr>
        <w:t xml:space="preserve"> “PYRO</w:t>
      </w:r>
      <w:r w:rsidR="003104B4" w:rsidRPr="00DC71B0">
        <w:rPr>
          <w:rFonts w:asciiTheme="majorHAnsi" w:hAnsiTheme="majorHAnsi" w:cstheme="majorHAnsi"/>
        </w:rPr>
        <w:t>,”</w:t>
      </w:r>
      <w:r w:rsidRPr="00DC71B0">
        <w:rPr>
          <w:rFonts w:asciiTheme="majorHAnsi" w:hAnsiTheme="majorHAnsi" w:cstheme="majorHAnsi"/>
        </w:rPr>
        <w:t xml:space="preserve"> or “BIF” with a “Maximum Rated Capacity” designation of “40-100”:</w:t>
      </w:r>
    </w:p>
    <w:p w14:paraId="15712390"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306E0B01"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28-</w:t>
      </w:r>
      <w:r w:rsidRPr="00DC71B0">
        <w:rPr>
          <w:rFonts w:asciiTheme="majorHAnsi" w:hAnsiTheme="majorHAnsi" w:cstheme="majorHAnsi"/>
        </w:rPr>
        <w:tab/>
        <w:t>Annual heat input is less than or equal to 2.8</w:t>
      </w:r>
      <w:r w:rsidR="00902D02">
        <w:rPr>
          <w:rFonts w:asciiTheme="majorHAnsi" w:hAnsiTheme="majorHAnsi" w:cstheme="majorHAnsi"/>
        </w:rPr>
        <w:t xml:space="preserve"> </w:t>
      </w:r>
      <w:r w:rsidRPr="00DC71B0">
        <w:rPr>
          <w:rFonts w:asciiTheme="majorHAnsi" w:hAnsiTheme="majorHAnsi" w:cstheme="majorHAnsi"/>
        </w:rPr>
        <w:t>(10</w:t>
      </w:r>
      <w:r w:rsidRPr="005728A6">
        <w:rPr>
          <w:rFonts w:asciiTheme="majorHAnsi" w:hAnsiTheme="majorHAnsi" w:cstheme="majorHAnsi"/>
          <w:vertAlign w:val="superscript"/>
        </w:rPr>
        <w:t>11</w:t>
      </w:r>
      <w:r w:rsidRPr="00DC71B0">
        <w:rPr>
          <w:rFonts w:asciiTheme="majorHAnsi" w:hAnsiTheme="majorHAnsi" w:cstheme="majorHAnsi"/>
        </w:rPr>
        <w:t>) Btu/yr., based on rolling 12-month average (Low annual capacity factor heaters)</w:t>
      </w:r>
    </w:p>
    <w:p w14:paraId="08A8E7FA"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28+</w:t>
      </w:r>
      <w:r w:rsidRPr="00DC71B0">
        <w:rPr>
          <w:rFonts w:asciiTheme="majorHAnsi" w:hAnsiTheme="majorHAnsi" w:cstheme="majorHAnsi"/>
        </w:rPr>
        <w:tab/>
        <w:t>Annual heat input is greater than 2.8</w:t>
      </w:r>
      <w:r w:rsidR="00902D02">
        <w:rPr>
          <w:rFonts w:asciiTheme="majorHAnsi" w:hAnsiTheme="majorHAnsi" w:cstheme="majorHAnsi"/>
        </w:rPr>
        <w:t xml:space="preserve"> </w:t>
      </w:r>
      <w:r w:rsidRPr="00DC71B0">
        <w:rPr>
          <w:rFonts w:asciiTheme="majorHAnsi" w:hAnsiTheme="majorHAnsi" w:cstheme="majorHAnsi"/>
        </w:rPr>
        <w:t>(10</w:t>
      </w:r>
      <w:r w:rsidRPr="005728A6">
        <w:rPr>
          <w:rFonts w:asciiTheme="majorHAnsi" w:hAnsiTheme="majorHAnsi" w:cstheme="majorHAnsi"/>
          <w:vertAlign w:val="superscript"/>
        </w:rPr>
        <w:t>11</w:t>
      </w:r>
      <w:r w:rsidRPr="00DC71B0">
        <w:rPr>
          <w:rFonts w:asciiTheme="majorHAnsi" w:hAnsiTheme="majorHAnsi" w:cstheme="majorHAnsi"/>
        </w:rPr>
        <w:t>) Btu/yr</w:t>
      </w:r>
      <w:r w:rsidR="008D5912">
        <w:rPr>
          <w:rFonts w:asciiTheme="majorHAnsi" w:hAnsiTheme="majorHAnsi" w:cstheme="majorHAnsi"/>
        </w:rPr>
        <w:t>.</w:t>
      </w:r>
      <w:r w:rsidRPr="00DC71B0">
        <w:rPr>
          <w:rFonts w:asciiTheme="majorHAnsi" w:hAnsiTheme="majorHAnsi" w:cstheme="majorHAnsi"/>
        </w:rPr>
        <w:t>, based on rolling 12-month average</w:t>
      </w:r>
    </w:p>
    <w:p w14:paraId="52D827A7" w14:textId="429459C2" w:rsidR="00002E2D" w:rsidRPr="00DC71B0" w:rsidRDefault="00002E2D" w:rsidP="00C24334">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“Unit Type” is “PRHTR</w:t>
      </w:r>
      <w:r w:rsidR="001173FA" w:rsidRPr="00DC71B0">
        <w:rPr>
          <w:rFonts w:asciiTheme="majorHAnsi" w:hAnsiTheme="majorHAnsi" w:cstheme="majorHAnsi"/>
        </w:rPr>
        <w:t>,”</w:t>
      </w:r>
      <w:r w:rsidRPr="00DC71B0">
        <w:rPr>
          <w:rFonts w:asciiTheme="majorHAnsi" w:hAnsiTheme="majorHAnsi" w:cstheme="majorHAnsi"/>
        </w:rPr>
        <w:t xml:space="preserve"> “PYRO</w:t>
      </w:r>
      <w:r w:rsidR="003104B4" w:rsidRPr="00DC71B0">
        <w:rPr>
          <w:rFonts w:asciiTheme="majorHAnsi" w:hAnsiTheme="majorHAnsi" w:cstheme="majorHAnsi"/>
        </w:rPr>
        <w:t>,”</w:t>
      </w:r>
      <w:r w:rsidRPr="00DC71B0">
        <w:rPr>
          <w:rFonts w:asciiTheme="majorHAnsi" w:hAnsiTheme="majorHAnsi" w:cstheme="majorHAnsi"/>
        </w:rPr>
        <w:t xml:space="preserve"> or “BIF” with a “Maximum Rated Capacity” designation of </w:t>
      </w:r>
      <w:r w:rsidR="006C00B3" w:rsidRPr="00DC71B0">
        <w:rPr>
          <w:rFonts w:asciiTheme="majorHAnsi" w:hAnsiTheme="majorHAnsi" w:cstheme="majorHAnsi"/>
        </w:rPr>
        <w:t>“100+”,</w:t>
      </w:r>
      <w:r w:rsidR="006C00B3">
        <w:rPr>
          <w:rFonts w:asciiTheme="majorHAnsi" w:hAnsiTheme="majorHAnsi" w:cstheme="majorHAnsi"/>
        </w:rPr>
        <w:t xml:space="preserve"> </w:t>
      </w:r>
      <w:r w:rsidR="006C00B3" w:rsidRPr="00DC71B0">
        <w:rPr>
          <w:rFonts w:asciiTheme="majorHAnsi" w:hAnsiTheme="majorHAnsi" w:cstheme="majorHAnsi"/>
        </w:rPr>
        <w:t>“100</w:t>
      </w:r>
      <w:r w:rsidR="00943FBA">
        <w:rPr>
          <w:rFonts w:asciiTheme="majorHAnsi" w:hAnsiTheme="majorHAnsi" w:cstheme="majorHAnsi"/>
        </w:rPr>
        <w:t>-</w:t>
      </w:r>
      <w:r w:rsidR="006C00B3" w:rsidRPr="00DC71B0">
        <w:rPr>
          <w:rFonts w:asciiTheme="majorHAnsi" w:hAnsiTheme="majorHAnsi" w:cstheme="majorHAnsi"/>
        </w:rPr>
        <w:t>200”,</w:t>
      </w:r>
      <w:r w:rsidR="005612EC">
        <w:rPr>
          <w:rFonts w:asciiTheme="majorHAnsi" w:hAnsiTheme="majorHAnsi" w:cstheme="majorHAnsi"/>
        </w:rPr>
        <w:t xml:space="preserve"> </w:t>
      </w:r>
      <w:r w:rsidRPr="00DC71B0">
        <w:rPr>
          <w:rFonts w:asciiTheme="majorHAnsi" w:hAnsiTheme="majorHAnsi" w:cstheme="majorHAnsi"/>
        </w:rPr>
        <w:t>or</w:t>
      </w:r>
      <w:r w:rsidR="005612EC">
        <w:rPr>
          <w:rFonts w:asciiTheme="majorHAnsi" w:hAnsiTheme="majorHAnsi" w:cstheme="majorHAnsi"/>
        </w:rPr>
        <w:t> </w:t>
      </w:r>
      <w:r w:rsidRPr="00DC71B0">
        <w:rPr>
          <w:rFonts w:asciiTheme="majorHAnsi" w:hAnsiTheme="majorHAnsi" w:cstheme="majorHAnsi"/>
        </w:rPr>
        <w:t>“200+”:</w:t>
      </w:r>
    </w:p>
    <w:p w14:paraId="49761699" w14:textId="77777777" w:rsidR="000E4846" w:rsidRPr="00DC71B0" w:rsidRDefault="000E4846"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24DB8C2"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22-</w:t>
      </w:r>
      <w:r w:rsidRPr="00DC71B0">
        <w:rPr>
          <w:rFonts w:asciiTheme="majorHAnsi" w:hAnsiTheme="majorHAnsi" w:cstheme="majorHAnsi"/>
        </w:rPr>
        <w:tab/>
        <w:t>Annual heat input is less than or equal to 2.2</w:t>
      </w:r>
      <w:r w:rsidR="00902D02">
        <w:rPr>
          <w:rFonts w:asciiTheme="majorHAnsi" w:hAnsiTheme="majorHAnsi" w:cstheme="majorHAnsi"/>
        </w:rPr>
        <w:t xml:space="preserve"> </w:t>
      </w:r>
      <w:r w:rsidRPr="00DC71B0">
        <w:rPr>
          <w:rFonts w:asciiTheme="majorHAnsi" w:hAnsiTheme="majorHAnsi" w:cstheme="majorHAnsi"/>
        </w:rPr>
        <w:t>(10</w:t>
      </w:r>
      <w:r w:rsidRPr="005728A6">
        <w:rPr>
          <w:rFonts w:asciiTheme="majorHAnsi" w:hAnsiTheme="majorHAnsi" w:cstheme="majorHAnsi"/>
          <w:vertAlign w:val="superscript"/>
        </w:rPr>
        <w:t>11</w:t>
      </w:r>
      <w:r w:rsidRPr="00DC71B0">
        <w:rPr>
          <w:rFonts w:asciiTheme="majorHAnsi" w:hAnsiTheme="majorHAnsi" w:cstheme="majorHAnsi"/>
        </w:rPr>
        <w:t>) Btu/yr</w:t>
      </w:r>
      <w:r w:rsidR="008D5912">
        <w:rPr>
          <w:rFonts w:asciiTheme="majorHAnsi" w:hAnsiTheme="majorHAnsi" w:cstheme="majorHAnsi"/>
        </w:rPr>
        <w:t>.</w:t>
      </w:r>
      <w:r w:rsidRPr="00DC71B0">
        <w:rPr>
          <w:rFonts w:asciiTheme="majorHAnsi" w:hAnsiTheme="majorHAnsi" w:cstheme="majorHAnsi"/>
        </w:rPr>
        <w:t>, based on rolling 12-month average (Low annual capacity factor heaters)</w:t>
      </w:r>
    </w:p>
    <w:p w14:paraId="0AB5C7C4"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22+</w:t>
      </w:r>
      <w:r w:rsidRPr="00DC71B0">
        <w:rPr>
          <w:rFonts w:asciiTheme="majorHAnsi" w:hAnsiTheme="majorHAnsi" w:cstheme="majorHAnsi"/>
        </w:rPr>
        <w:tab/>
        <w:t>Annual heat input is greater than 2.2 (10</w:t>
      </w:r>
      <w:r w:rsidRPr="005728A6">
        <w:rPr>
          <w:rFonts w:asciiTheme="majorHAnsi" w:hAnsiTheme="majorHAnsi" w:cstheme="majorHAnsi"/>
          <w:vertAlign w:val="superscript"/>
        </w:rPr>
        <w:t>11</w:t>
      </w:r>
      <w:r w:rsidRPr="00DC71B0">
        <w:rPr>
          <w:rFonts w:asciiTheme="majorHAnsi" w:hAnsiTheme="majorHAnsi" w:cstheme="majorHAnsi"/>
        </w:rPr>
        <w:t>) Btu/yr</w:t>
      </w:r>
      <w:r w:rsidR="008D5912">
        <w:rPr>
          <w:rFonts w:asciiTheme="majorHAnsi" w:hAnsiTheme="majorHAnsi" w:cstheme="majorHAnsi"/>
        </w:rPr>
        <w:t>.</w:t>
      </w:r>
      <w:r w:rsidRPr="00DC71B0">
        <w:rPr>
          <w:rFonts w:asciiTheme="majorHAnsi" w:hAnsiTheme="majorHAnsi" w:cstheme="majorHAnsi"/>
        </w:rPr>
        <w:t>, based on rolling 12-month average</w:t>
      </w:r>
    </w:p>
    <w:p w14:paraId="7ABD6325" w14:textId="77777777" w:rsidR="00002E2D" w:rsidRPr="00DC71B0" w:rsidRDefault="00002E2D" w:rsidP="00C24334">
      <w:pPr>
        <w:pStyle w:val="APDBodyBOLDheader"/>
        <w:tabs>
          <w:tab w:val="left" w:pos="0"/>
        </w:tabs>
        <w:rPr>
          <w:rFonts w:asciiTheme="majorHAnsi" w:hAnsiTheme="majorHAnsi" w:cstheme="majorHAnsi"/>
        </w:rPr>
      </w:pPr>
      <w:bookmarkStart w:id="3" w:name="_Hlk31266514"/>
      <w:r w:rsidRPr="00DC71B0">
        <w:rPr>
          <w:rFonts w:asciiTheme="majorHAnsi" w:hAnsiTheme="majorHAnsi" w:cstheme="majorHAnsi"/>
        </w:rPr>
        <w:t>NOx Emission Limitation:</w:t>
      </w:r>
    </w:p>
    <w:bookmarkEnd w:id="3"/>
    <w:p w14:paraId="4E918471" w14:textId="2403DA25" w:rsidR="00494BE2"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 xml:space="preserve">Title 30 TAC Chapter 117 provides options to </w:t>
      </w:r>
      <w:proofErr w:type="gramStart"/>
      <w:r w:rsidRPr="00DC71B0">
        <w:rPr>
          <w:rFonts w:asciiTheme="majorHAnsi" w:hAnsiTheme="majorHAnsi" w:cstheme="majorHAnsi"/>
        </w:rPr>
        <w:t>be in compliance with</w:t>
      </w:r>
      <w:proofErr w:type="gramEnd"/>
      <w:r w:rsidRPr="00DC71B0">
        <w:rPr>
          <w:rFonts w:asciiTheme="majorHAnsi" w:hAnsiTheme="majorHAnsi" w:cstheme="majorHAnsi"/>
        </w:rPr>
        <w:t xml:space="preserve"> the applicable limitation standards listed in 30 TAC Chapter 117, Subchapter B. Select one of the following options. Enter the code on the form.</w:t>
      </w:r>
    </w:p>
    <w:p w14:paraId="2A23370E" w14:textId="3530C1B7" w:rsidR="00002E2D" w:rsidRPr="00DC71B0" w:rsidRDefault="00494BE2" w:rsidP="00C24334">
      <w:pPr>
        <w:tabs>
          <w:tab w:val="left" w:pos="0"/>
        </w:tabs>
        <w:rPr>
          <w:rFonts w:asciiTheme="majorHAnsi" w:hAnsiTheme="majorHAnsi" w:cstheme="majorHAnsi"/>
        </w:rPr>
      </w:pPr>
      <w:r>
        <w:rPr>
          <w:rFonts w:asciiTheme="majorHAnsi" w:hAnsiTheme="majorHAnsi" w:cstheme="majorHAnsi"/>
        </w:rPr>
        <w:br w:type="page"/>
      </w:r>
    </w:p>
    <w:p w14:paraId="3F92C296" w14:textId="77777777" w:rsidR="00002E2D" w:rsidRPr="006E6FBA" w:rsidRDefault="00002E2D" w:rsidP="00C24334">
      <w:pPr>
        <w:pStyle w:val="APDBodyBOLDheader"/>
        <w:tabs>
          <w:tab w:val="left" w:pos="0"/>
        </w:tabs>
        <w:spacing w:after="120"/>
        <w:rPr>
          <w:rFonts w:asciiTheme="majorHAnsi" w:hAnsiTheme="majorHAnsi" w:cstheme="majorHAnsi"/>
          <w:b w:val="0"/>
          <w:bCs/>
        </w:rPr>
      </w:pPr>
      <w:bookmarkStart w:id="4" w:name="_Hlk31266535"/>
      <w:r w:rsidRPr="006E6FBA">
        <w:rPr>
          <w:rFonts w:asciiTheme="majorHAnsi" w:hAnsiTheme="majorHAnsi" w:cstheme="majorHAnsi"/>
          <w:b w:val="0"/>
          <w:bCs/>
        </w:rPr>
        <w:lastRenderedPageBreak/>
        <w:t>For GOP applications:</w:t>
      </w:r>
      <w:bookmarkEnd w:id="4"/>
    </w:p>
    <w:p w14:paraId="7C3FBEAB" w14:textId="77777777" w:rsidR="00002E2D" w:rsidRPr="00DC71B0" w:rsidRDefault="00002E2D" w:rsidP="005A3DB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34829F95"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103B</w:t>
      </w:r>
      <w:r w:rsidRPr="00DC71B0">
        <w:rPr>
          <w:rFonts w:asciiTheme="majorHAnsi" w:hAnsiTheme="majorHAnsi" w:cstheme="majorHAnsi"/>
        </w:rPr>
        <w:tab/>
        <w:t>Title 30 TAC § 117.103(b)(1) exemption (for process heaters in the Beaumont/Port Arthur ozone nonattainment area potentially subject to RACT)</w:t>
      </w:r>
    </w:p>
    <w:p w14:paraId="58D7B4DA" w14:textId="09A35CDD" w:rsidR="001173FA" w:rsidRDefault="008D5912" w:rsidP="00273CFE">
      <w:pPr>
        <w:pStyle w:val="APDCodeList"/>
      </w:pPr>
      <w:r>
        <w:rPr>
          <w:rFonts w:asciiTheme="majorHAnsi" w:hAnsiTheme="majorHAnsi" w:cstheme="majorHAnsi"/>
        </w:rPr>
        <w:t>4</w:t>
      </w:r>
      <w:r w:rsidRPr="00DC71B0">
        <w:rPr>
          <w:rFonts w:asciiTheme="majorHAnsi" w:hAnsiTheme="majorHAnsi" w:cstheme="majorHAnsi"/>
        </w:rPr>
        <w:t>03B</w:t>
      </w:r>
      <w:r w:rsidRPr="00DC71B0">
        <w:rPr>
          <w:rFonts w:asciiTheme="majorHAnsi" w:hAnsiTheme="majorHAnsi" w:cstheme="majorHAnsi"/>
        </w:rPr>
        <w:tab/>
        <w:t>Title 30 TAC § 117.</w:t>
      </w:r>
      <w:r>
        <w:rPr>
          <w:rFonts w:asciiTheme="majorHAnsi" w:hAnsiTheme="majorHAnsi" w:cstheme="majorHAnsi"/>
        </w:rPr>
        <w:t>4</w:t>
      </w:r>
      <w:r w:rsidRPr="00DC71B0">
        <w:rPr>
          <w:rFonts w:asciiTheme="majorHAnsi" w:hAnsiTheme="majorHAnsi" w:cstheme="majorHAnsi"/>
        </w:rPr>
        <w:t xml:space="preserve">03(b)(1) exemption (for process heaters in </w:t>
      </w:r>
      <w:r>
        <w:rPr>
          <w:rFonts w:asciiTheme="majorHAnsi" w:hAnsiTheme="majorHAnsi" w:cstheme="majorHAnsi"/>
        </w:rPr>
        <w:t>Wise County</w:t>
      </w:r>
      <w:r w:rsidRPr="00DC71B0">
        <w:rPr>
          <w:rFonts w:asciiTheme="majorHAnsi" w:hAnsiTheme="majorHAnsi" w:cstheme="majorHAnsi"/>
        </w:rPr>
        <w:t xml:space="preserve"> potentially subject to RACT)</w:t>
      </w:r>
    </w:p>
    <w:p w14:paraId="7A8A1686"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103A</w:t>
      </w:r>
      <w:r w:rsidRPr="00DC71B0">
        <w:rPr>
          <w:rFonts w:asciiTheme="majorHAnsi" w:hAnsiTheme="majorHAnsi" w:cstheme="majorHAnsi"/>
        </w:rPr>
        <w:tab/>
        <w:t>Title 30 TAC § 117.103(a)(2) exemption (use for process heaters, potentially subject to ESAD, located in the Beaumont/Port Arthur ozone nonattainment area and rated less than 40 MMBtu/</w:t>
      </w:r>
      <w:proofErr w:type="spellStart"/>
      <w:r w:rsidRPr="00DC71B0">
        <w:rPr>
          <w:rFonts w:asciiTheme="majorHAnsi" w:hAnsiTheme="majorHAnsi" w:cstheme="majorHAnsi"/>
        </w:rPr>
        <w:t>hr</w:t>
      </w:r>
      <w:proofErr w:type="spellEnd"/>
      <w:r w:rsidRPr="00DC71B0">
        <w:rPr>
          <w:rFonts w:asciiTheme="majorHAnsi" w:hAnsiTheme="majorHAnsi" w:cstheme="majorHAnsi"/>
        </w:rPr>
        <w:t>)</w:t>
      </w:r>
    </w:p>
    <w:p w14:paraId="1E8F1582" w14:textId="77777777" w:rsidR="00002E2D" w:rsidRPr="00DC71B0" w:rsidRDefault="00002E2D" w:rsidP="005A3DB5">
      <w:pPr>
        <w:pStyle w:val="APDCodeList"/>
        <w:rPr>
          <w:rFonts w:asciiTheme="majorHAnsi" w:hAnsiTheme="majorHAnsi" w:cstheme="majorHAnsi"/>
        </w:rPr>
      </w:pPr>
      <w:r w:rsidRPr="00DC71B0">
        <w:rPr>
          <w:rFonts w:asciiTheme="majorHAnsi" w:hAnsiTheme="majorHAnsi" w:cstheme="majorHAnsi"/>
        </w:rPr>
        <w:t>103C</w:t>
      </w:r>
      <w:r w:rsidRPr="00DC71B0">
        <w:rPr>
          <w:rFonts w:asciiTheme="majorHAnsi" w:hAnsiTheme="majorHAnsi" w:cstheme="majorHAnsi"/>
        </w:rPr>
        <w:tab/>
        <w:t>Title 30 TAC § 117.103(c) exemption (use for process heaters, potentially subject to ESAD located in the Beaumont/Port Arthur ozone nonattainment area rated greater than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and qualifies as a low annual capacity unit.)</w:t>
      </w:r>
    </w:p>
    <w:p w14:paraId="7238D565" w14:textId="77777777" w:rsidR="00E93A8C" w:rsidRDefault="00002E2D" w:rsidP="005A3DB5">
      <w:pPr>
        <w:pStyle w:val="APDCodeList"/>
        <w:rPr>
          <w:rFonts w:asciiTheme="majorHAnsi" w:hAnsiTheme="majorHAnsi" w:cstheme="majorHAnsi"/>
        </w:rPr>
      </w:pPr>
      <w:r w:rsidRPr="00DC71B0">
        <w:rPr>
          <w:rFonts w:asciiTheme="majorHAnsi" w:hAnsiTheme="majorHAnsi" w:cstheme="majorHAnsi"/>
        </w:rPr>
        <w:t>110A</w:t>
      </w:r>
      <w:r w:rsidRPr="00DC71B0">
        <w:rPr>
          <w:rFonts w:asciiTheme="majorHAnsi" w:hAnsiTheme="majorHAnsi" w:cstheme="majorHAnsi"/>
        </w:rPr>
        <w:tab/>
        <w:t>Title 30 TAC § 117.110(a)(2) (use for process heaters located in the Beaumont/Port Arthur ozone nonattainment area and rated greater than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and does not qualify as a low annual capacity unit. These units are subject to ESAD requirements)</w:t>
      </w:r>
    </w:p>
    <w:p w14:paraId="095F743D" w14:textId="477BBB1E"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310A</w:t>
      </w:r>
      <w:r w:rsidRPr="00DC71B0">
        <w:rPr>
          <w:rFonts w:asciiTheme="majorHAnsi" w:hAnsiTheme="majorHAnsi" w:cstheme="majorHAnsi"/>
        </w:rPr>
        <w:tab/>
        <w:t>Title 30 TAC §</w:t>
      </w:r>
      <w:r w:rsidR="00BA60B0" w:rsidRPr="00DC71B0">
        <w:rPr>
          <w:rFonts w:asciiTheme="majorHAnsi" w:hAnsiTheme="majorHAnsi" w:cstheme="majorHAnsi"/>
        </w:rPr>
        <w:t>§</w:t>
      </w:r>
      <w:r w:rsidRPr="00DC71B0">
        <w:rPr>
          <w:rFonts w:asciiTheme="majorHAnsi" w:hAnsiTheme="majorHAnsi" w:cstheme="majorHAnsi"/>
        </w:rPr>
        <w:t xml:space="preserve"> </w:t>
      </w:r>
      <w:r w:rsidR="008E729B" w:rsidRPr="00DC71B0">
        <w:rPr>
          <w:rFonts w:asciiTheme="majorHAnsi" w:hAnsiTheme="majorHAnsi" w:cstheme="majorHAnsi"/>
        </w:rPr>
        <w:t xml:space="preserve">117.310(d)(3) </w:t>
      </w:r>
      <w:r w:rsidR="008E729B">
        <w:rPr>
          <w:rFonts w:asciiTheme="majorHAnsi" w:hAnsiTheme="majorHAnsi" w:cstheme="majorHAnsi"/>
        </w:rPr>
        <w:t xml:space="preserve">and </w:t>
      </w:r>
      <w:r w:rsidRPr="00DC71B0">
        <w:rPr>
          <w:rFonts w:asciiTheme="majorHAnsi" w:hAnsiTheme="majorHAnsi" w:cstheme="majorHAnsi"/>
        </w:rPr>
        <w:t xml:space="preserve">117.310(a)(8) </w:t>
      </w:r>
      <w:r w:rsidR="008E729B" w:rsidRPr="00DC71B0">
        <w:rPr>
          <w:rFonts w:asciiTheme="majorHAnsi" w:hAnsiTheme="majorHAnsi" w:cstheme="majorHAnsi"/>
        </w:rPr>
        <w:t xml:space="preserve">[relating to mass emissions cap and trade in Chapter 101, Subchapter H, Division </w:t>
      </w:r>
      <w:proofErr w:type="gramStart"/>
      <w:r w:rsidR="008E729B" w:rsidRPr="00DC71B0">
        <w:rPr>
          <w:rFonts w:asciiTheme="majorHAnsi" w:hAnsiTheme="majorHAnsi" w:cstheme="majorHAnsi"/>
        </w:rPr>
        <w:t>3</w:t>
      </w:r>
      <w:proofErr w:type="gramEnd"/>
      <w:r w:rsidR="008E729B" w:rsidRPr="00DC71B0">
        <w:rPr>
          <w:rFonts w:asciiTheme="majorHAnsi" w:hAnsiTheme="majorHAnsi" w:cstheme="majorHAnsi"/>
        </w:rPr>
        <w:t xml:space="preserve"> and Emission Specifications for Attainment Demonstration]</w:t>
      </w:r>
    </w:p>
    <w:p w14:paraId="2DFAF50B" w14:textId="77777777" w:rsidR="00002E2D" w:rsidRDefault="00002E2D" w:rsidP="00533488">
      <w:pPr>
        <w:pStyle w:val="APDCodeList"/>
        <w:rPr>
          <w:rFonts w:asciiTheme="majorHAnsi" w:hAnsiTheme="majorHAnsi" w:cstheme="majorHAnsi"/>
        </w:rPr>
      </w:pPr>
      <w:r w:rsidRPr="00DC71B0">
        <w:rPr>
          <w:rFonts w:asciiTheme="majorHAnsi" w:hAnsiTheme="majorHAnsi" w:cstheme="majorHAnsi"/>
        </w:rPr>
        <w:t>410</w:t>
      </w:r>
      <w:r w:rsidR="008D5912">
        <w:rPr>
          <w:rFonts w:asciiTheme="majorHAnsi" w:hAnsiTheme="majorHAnsi" w:cstheme="majorHAnsi"/>
        </w:rPr>
        <w:t>A</w:t>
      </w:r>
      <w:r w:rsidRPr="00DC71B0">
        <w:rPr>
          <w:rFonts w:asciiTheme="majorHAnsi" w:hAnsiTheme="majorHAnsi" w:cstheme="majorHAnsi"/>
        </w:rPr>
        <w:tab/>
        <w:t>Title 30 TAC § 117.410(</w:t>
      </w:r>
      <w:r w:rsidR="008D5912">
        <w:rPr>
          <w:rFonts w:asciiTheme="majorHAnsi" w:hAnsiTheme="majorHAnsi" w:cstheme="majorHAnsi"/>
        </w:rPr>
        <w:t>a</w:t>
      </w:r>
      <w:r w:rsidRPr="00DC71B0">
        <w:rPr>
          <w:rFonts w:asciiTheme="majorHAnsi" w:hAnsiTheme="majorHAnsi" w:cstheme="majorHAnsi"/>
        </w:rPr>
        <w:t>)(3) (use for units located in the Dallas/Fort Worth Eight-Hour ozone nonattainment area)</w:t>
      </w:r>
    </w:p>
    <w:p w14:paraId="0F977945" w14:textId="77777777" w:rsidR="00540150" w:rsidRPr="00DC71B0" w:rsidRDefault="00540150" w:rsidP="00533488">
      <w:pPr>
        <w:pStyle w:val="APDCodeList"/>
        <w:rPr>
          <w:rFonts w:asciiTheme="majorHAnsi" w:hAnsiTheme="majorHAnsi" w:cstheme="majorHAnsi"/>
        </w:rPr>
      </w:pPr>
      <w:bookmarkStart w:id="5" w:name="_Hlk31021288"/>
      <w:r w:rsidRPr="00DC71B0">
        <w:rPr>
          <w:rFonts w:asciiTheme="majorHAnsi" w:hAnsiTheme="majorHAnsi" w:cstheme="majorHAnsi"/>
        </w:rPr>
        <w:t>405B</w:t>
      </w:r>
      <w:r w:rsidRPr="00DC71B0">
        <w:rPr>
          <w:rFonts w:asciiTheme="majorHAnsi" w:hAnsiTheme="majorHAnsi" w:cstheme="majorHAnsi"/>
        </w:rPr>
        <w:tab/>
        <w:t>Title 30 TAC § 117.405(b)(1) (use for units located in Wise County)</w:t>
      </w:r>
    </w:p>
    <w:bookmarkEnd w:id="5"/>
    <w:p w14:paraId="4114107A" w14:textId="77777777" w:rsidR="00002E2D" w:rsidRPr="006E6FBA" w:rsidRDefault="00002E2D" w:rsidP="00C24334">
      <w:pPr>
        <w:pStyle w:val="APDBodyBOLDheader"/>
        <w:tabs>
          <w:tab w:val="left" w:pos="0"/>
        </w:tabs>
        <w:rPr>
          <w:rFonts w:asciiTheme="majorHAnsi" w:hAnsiTheme="majorHAnsi" w:cstheme="majorHAnsi"/>
          <w:b w:val="0"/>
          <w:bCs/>
        </w:rPr>
      </w:pPr>
      <w:r w:rsidRPr="006E6FBA">
        <w:rPr>
          <w:rFonts w:asciiTheme="majorHAnsi" w:hAnsiTheme="majorHAnsi" w:cstheme="majorHAnsi"/>
          <w:b w:val="0"/>
          <w:bCs/>
        </w:rPr>
        <w:t>For SOP applications:</w:t>
      </w:r>
    </w:p>
    <w:p w14:paraId="39C8EBF1" w14:textId="77777777" w:rsidR="00002E2D" w:rsidRPr="00DC71B0" w:rsidRDefault="00002E2D" w:rsidP="00C24334">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process heaters located in the Beaumont/Port Arthur ozone nonattainment area: </w:t>
      </w:r>
    </w:p>
    <w:p w14:paraId="6C104B4C" w14:textId="77777777" w:rsidR="000E4846" w:rsidRPr="00DC71B0" w:rsidRDefault="000E4846"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48259F24"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105</w:t>
      </w:r>
      <w:r w:rsidRPr="00DC71B0">
        <w:rPr>
          <w:rFonts w:asciiTheme="majorHAnsi" w:hAnsiTheme="majorHAnsi" w:cstheme="majorHAnsi"/>
        </w:rPr>
        <w:tab/>
        <w:t>Title 30 TAC § 117.105 (relating to Emission Specifications for Reasonably Available Control Technology)</w:t>
      </w:r>
    </w:p>
    <w:p w14:paraId="6656FDB8"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110A</w:t>
      </w:r>
      <w:r w:rsidRPr="00DC71B0">
        <w:rPr>
          <w:rFonts w:asciiTheme="majorHAnsi" w:hAnsiTheme="majorHAnsi" w:cstheme="majorHAnsi"/>
        </w:rPr>
        <w:tab/>
        <w:t>Title 30 TAC § 117.110(a) (use for process heaters located in the Beaumont/Port Arthur ozone nonattainment area and rated greater than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and does not qualify as a low annual capacity unit.) </w:t>
      </w:r>
    </w:p>
    <w:p w14:paraId="32506D49"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APES</w:t>
      </w:r>
      <w:r w:rsidRPr="00DC71B0">
        <w:rPr>
          <w:rFonts w:asciiTheme="majorHAnsi" w:hAnsiTheme="majorHAnsi" w:cstheme="majorHAnsi"/>
        </w:rPr>
        <w:tab/>
        <w:t xml:space="preserve">Unit is complying with an Alternative Plant-wide Emissions Specification under </w:t>
      </w:r>
      <w:r w:rsidR="00BA02CB" w:rsidRPr="00DC71B0">
        <w:rPr>
          <w:rFonts w:asciiTheme="majorHAnsi" w:hAnsiTheme="majorHAnsi" w:cstheme="majorHAnsi"/>
        </w:rPr>
        <w:br/>
      </w:r>
      <w:r w:rsidRPr="00DC71B0">
        <w:rPr>
          <w:rFonts w:asciiTheme="majorHAnsi" w:hAnsiTheme="majorHAnsi" w:cstheme="majorHAnsi"/>
        </w:rPr>
        <w:t>Title 30 TAC § 117.115</w:t>
      </w:r>
    </w:p>
    <w:p w14:paraId="527D6382"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Case-specific Specification under Title 30 TAC § 117.125</w:t>
      </w:r>
    </w:p>
    <w:p w14:paraId="2F5F51D6"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SC</w:t>
      </w:r>
      <w:r w:rsidRPr="00DC71B0">
        <w:rPr>
          <w:rFonts w:asciiTheme="majorHAnsi" w:hAnsiTheme="majorHAnsi" w:cstheme="majorHAnsi"/>
        </w:rPr>
        <w:tab/>
        <w:t>Unit is complying with a Source Cap under Title 30 TAC § 117.123</w:t>
      </w:r>
    </w:p>
    <w:p w14:paraId="76D34FE3" w14:textId="77777777" w:rsidR="00002E2D" w:rsidRPr="00DC71B0" w:rsidRDefault="00002E2D" w:rsidP="00C24334">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PRHTR or PYRO or BIF units located in the Houston/Galveston/Brazoria ozone nonattainment area: </w:t>
      </w:r>
    </w:p>
    <w:p w14:paraId="23ACACCE" w14:textId="77777777" w:rsidR="00002E2D" w:rsidRPr="00DC71B0" w:rsidRDefault="00002E2D"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326E1FB2"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310D</w:t>
      </w:r>
      <w:r w:rsidRPr="00DC71B0">
        <w:rPr>
          <w:rFonts w:asciiTheme="majorHAnsi" w:hAnsiTheme="majorHAnsi" w:cstheme="majorHAnsi"/>
        </w:rPr>
        <w:tab/>
        <w:t xml:space="preserve">Title 30 TAC §§ 117.310(d)(3) and 117.310(a)(8) [relating to mass emissions cap and trade in Chapter 101, Subchapter H, Division </w:t>
      </w:r>
      <w:proofErr w:type="gramStart"/>
      <w:r w:rsidRPr="00DC71B0">
        <w:rPr>
          <w:rFonts w:asciiTheme="majorHAnsi" w:hAnsiTheme="majorHAnsi" w:cstheme="majorHAnsi"/>
        </w:rPr>
        <w:t>3</w:t>
      </w:r>
      <w:proofErr w:type="gramEnd"/>
      <w:r w:rsidRPr="00DC71B0">
        <w:rPr>
          <w:rFonts w:asciiTheme="majorHAnsi" w:hAnsiTheme="majorHAnsi" w:cstheme="majorHAnsi"/>
        </w:rPr>
        <w:t xml:space="preserve"> and Emission Specifications for Attainment Demonstration]</w:t>
      </w:r>
    </w:p>
    <w:p w14:paraId="45C2C6BB"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ACF</w:t>
      </w:r>
      <w:r w:rsidRPr="00DC71B0">
        <w:rPr>
          <w:rFonts w:asciiTheme="majorHAnsi" w:hAnsiTheme="majorHAnsi" w:cstheme="majorHAnsi"/>
        </w:rPr>
        <w:tab/>
        <w:t>Process heater is complying with an annual capacity factor specification under Title 30 TAC §§</w:t>
      </w:r>
      <w:r w:rsidR="00533488">
        <w:rPr>
          <w:rFonts w:asciiTheme="majorHAnsi" w:hAnsiTheme="majorHAnsi" w:cstheme="majorHAnsi"/>
        </w:rPr>
        <w:t> </w:t>
      </w:r>
      <w:r w:rsidRPr="00DC71B0">
        <w:rPr>
          <w:rFonts w:asciiTheme="majorHAnsi" w:hAnsiTheme="majorHAnsi" w:cstheme="majorHAnsi"/>
        </w:rPr>
        <w:t xml:space="preserve">117.310(d)(3) and 117.310(a) (17) </w:t>
      </w:r>
    </w:p>
    <w:p w14:paraId="5C4ED052" w14:textId="77777777" w:rsidR="00002E2D" w:rsidRPr="00DC71B0" w:rsidRDefault="00002E2D" w:rsidP="00C24334">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process heaters located in the Dallas/Fort Worth Eight-Hour ozone nonattainment area: </w:t>
      </w:r>
    </w:p>
    <w:p w14:paraId="569AB234" w14:textId="77777777" w:rsidR="00002E2D" w:rsidRPr="00DC71B0" w:rsidRDefault="00002E2D" w:rsidP="00533488">
      <w:pPr>
        <w:pStyle w:val="APDCodeList"/>
        <w:rPr>
          <w:rFonts w:asciiTheme="majorHAnsi" w:hAnsiTheme="majorHAnsi" w:cstheme="majorHAnsi"/>
        </w:rPr>
      </w:pPr>
      <w:r w:rsidRPr="005728A6">
        <w:rPr>
          <w:rFonts w:asciiTheme="majorHAnsi" w:hAnsiTheme="majorHAnsi" w:cstheme="majorHAnsi"/>
          <w:b/>
        </w:rPr>
        <w:t>Code</w:t>
      </w:r>
      <w:r w:rsidRPr="00DC71B0">
        <w:rPr>
          <w:rFonts w:asciiTheme="majorHAnsi" w:hAnsiTheme="majorHAnsi" w:cstheme="majorHAnsi"/>
        </w:rPr>
        <w:tab/>
      </w:r>
      <w:r w:rsidRPr="005728A6">
        <w:rPr>
          <w:rFonts w:asciiTheme="majorHAnsi" w:hAnsiTheme="majorHAnsi" w:cstheme="majorHAnsi"/>
          <w:b/>
        </w:rPr>
        <w:t>Description</w:t>
      </w:r>
    </w:p>
    <w:p w14:paraId="07B35B9F"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410A</w:t>
      </w:r>
      <w:r w:rsidRPr="00DC71B0">
        <w:rPr>
          <w:rFonts w:asciiTheme="majorHAnsi" w:hAnsiTheme="majorHAnsi" w:cstheme="majorHAnsi"/>
        </w:rPr>
        <w:tab/>
        <w:t>Title 30 TAC § 117.410(a)(3) (use for units located in the Dallas/Fort Worth Eight-Hour ozone nonattainment area excluding Wise County)</w:t>
      </w:r>
    </w:p>
    <w:p w14:paraId="06CE975D"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405B</w:t>
      </w:r>
      <w:r w:rsidRPr="00DC71B0">
        <w:rPr>
          <w:rFonts w:asciiTheme="majorHAnsi" w:hAnsiTheme="majorHAnsi" w:cstheme="majorHAnsi"/>
        </w:rPr>
        <w:tab/>
        <w:t xml:space="preserve">Title 30 TAC § 117.405(b)(1) (use for units located in Wise County) </w:t>
      </w:r>
    </w:p>
    <w:p w14:paraId="3E9191E4"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ACF</w:t>
      </w:r>
      <w:r w:rsidRPr="00DC71B0">
        <w:rPr>
          <w:rFonts w:asciiTheme="majorHAnsi" w:hAnsiTheme="majorHAnsi" w:cstheme="majorHAnsi"/>
        </w:rPr>
        <w:tab/>
        <w:t>Process heater is complying with an annual capacity factor specification under Title 30 TAC §</w:t>
      </w:r>
      <w:r w:rsidR="00533488">
        <w:rPr>
          <w:rFonts w:asciiTheme="majorHAnsi" w:hAnsiTheme="majorHAnsi" w:cstheme="majorHAnsi"/>
        </w:rPr>
        <w:t> </w:t>
      </w:r>
      <w:r w:rsidRPr="00DC71B0">
        <w:rPr>
          <w:rFonts w:asciiTheme="majorHAnsi" w:hAnsiTheme="majorHAnsi" w:cstheme="majorHAnsi"/>
        </w:rPr>
        <w:t>117.410(a)(14)</w:t>
      </w:r>
    </w:p>
    <w:p w14:paraId="7196C020" w14:textId="19ADEDC5" w:rsidR="00494BE2" w:rsidRDefault="00002E2D" w:rsidP="00533488">
      <w:pPr>
        <w:pStyle w:val="APDCodeList"/>
        <w:rPr>
          <w:rFonts w:asciiTheme="majorHAnsi" w:hAnsiTheme="majorHAnsi" w:cstheme="majorHAnsi"/>
        </w:rPr>
      </w:pPr>
      <w:r w:rsidRPr="00DC71B0">
        <w:rPr>
          <w:rFonts w:asciiTheme="majorHAnsi" w:hAnsiTheme="majorHAnsi" w:cstheme="majorHAnsi"/>
        </w:rPr>
        <w:t>SC</w:t>
      </w:r>
      <w:r w:rsidRPr="00DC71B0">
        <w:rPr>
          <w:rFonts w:asciiTheme="majorHAnsi" w:hAnsiTheme="majorHAnsi" w:cstheme="majorHAnsi"/>
        </w:rPr>
        <w:tab/>
        <w:t>Unit is complying with a Source Cap under Title 30 TAC § 117.423</w:t>
      </w:r>
    </w:p>
    <w:p w14:paraId="22545E2F" w14:textId="1A6E011B" w:rsidR="00002E2D" w:rsidRPr="00DC71B0" w:rsidRDefault="00494BE2" w:rsidP="00273CFE">
      <w:pPr>
        <w:rPr>
          <w:rFonts w:asciiTheme="majorHAnsi" w:hAnsiTheme="majorHAnsi" w:cstheme="majorHAnsi"/>
        </w:rPr>
      </w:pPr>
      <w:r>
        <w:rPr>
          <w:rFonts w:asciiTheme="majorHAnsi" w:hAnsiTheme="majorHAnsi" w:cstheme="majorHAnsi"/>
        </w:rPr>
        <w:br w:type="page"/>
      </w:r>
    </w:p>
    <w:p w14:paraId="028D1C9B" w14:textId="1A5A189D" w:rsidR="009204D8" w:rsidRPr="00494BE2" w:rsidRDefault="00002E2D" w:rsidP="002A186B">
      <w:pPr>
        <w:pStyle w:val="APDCompleteStarStyle"/>
      </w:pPr>
      <w:r w:rsidRPr="00DC71B0">
        <w:lastRenderedPageBreak/>
        <w:t>Complete “Opt-in Unit” only if the site is located in the Beaumont-Port Arthur ozone nonattainment area and “Emission Limitation” from Table 1a is “APES” or “SC.”</w:t>
      </w:r>
    </w:p>
    <w:p w14:paraId="4EFC201C" w14:textId="7B262CAF"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Opt-in Unit:</w:t>
      </w:r>
    </w:p>
    <w:p w14:paraId="3968A2F2" w14:textId="7A8F107D" w:rsidR="006C00B3"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Enter “YES” if the unit is an opt-in unit listed in 30 TAC § 117.115(f) that the owner or operator has chosen to include into the Plant-wide emission or Source Cap to comply with § 117.105 (for non</w:t>
      </w:r>
      <w:r w:rsidR="008D5912">
        <w:rPr>
          <w:rFonts w:asciiTheme="majorHAnsi" w:hAnsiTheme="majorHAnsi" w:cstheme="majorHAnsi"/>
        </w:rPr>
        <w:t>-</w:t>
      </w:r>
      <w:r w:rsidRPr="00DC71B0">
        <w:rPr>
          <w:rFonts w:asciiTheme="majorHAnsi" w:hAnsiTheme="majorHAnsi" w:cstheme="majorHAnsi"/>
        </w:rPr>
        <w:t>gas-fired process heaters). Otherwise, enter “NO.”</w:t>
      </w:r>
    </w:p>
    <w:p w14:paraId="7E3FF068" w14:textId="77777777" w:rsidR="00002E2D" w:rsidRPr="00DC71B0" w:rsidRDefault="00002E2D" w:rsidP="000E4846">
      <w:pPr>
        <w:pStyle w:val="APDCompleteStarStyle"/>
      </w:pPr>
      <w:r w:rsidRPr="00DC71B0">
        <w:t>Complete “23C-OPTION” only if “NOx Emission Limitation” is “SC.”</w:t>
      </w:r>
    </w:p>
    <w:p w14:paraId="75F6C575" w14:textId="77777777"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23C-Option:</w:t>
      </w:r>
    </w:p>
    <w:p w14:paraId="17020720" w14:textId="77777777" w:rsidR="00002E2D" w:rsidRPr="00DC71B0"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Select one of the following § 117.123(c)(1) or 423(c)(1) options for monitoring. Enter the code on the form.</w:t>
      </w:r>
    </w:p>
    <w:p w14:paraId="43D82693" w14:textId="77777777" w:rsidR="000E4846" w:rsidRPr="00DC71B0" w:rsidRDefault="000E4846"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64CA7F9"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23C-A</w:t>
      </w:r>
      <w:r w:rsidRPr="00DC71B0">
        <w:rPr>
          <w:rFonts w:asciiTheme="majorHAnsi" w:hAnsiTheme="majorHAnsi" w:cstheme="majorHAnsi"/>
        </w:rPr>
        <w:tab/>
        <w:t>NOx, CO, O</w:t>
      </w:r>
      <w:r w:rsidRPr="005728A6">
        <w:rPr>
          <w:rFonts w:asciiTheme="majorHAnsi" w:hAnsiTheme="majorHAnsi" w:cstheme="majorHAnsi"/>
          <w:vertAlign w:val="subscript"/>
        </w:rPr>
        <w:t>2</w:t>
      </w:r>
      <w:r w:rsidRPr="00DC71B0">
        <w:rPr>
          <w:rFonts w:asciiTheme="majorHAnsi" w:hAnsiTheme="majorHAnsi" w:cstheme="majorHAnsi"/>
        </w:rPr>
        <w:t xml:space="preserve"> (or CO</w:t>
      </w:r>
      <w:r w:rsidRPr="005728A6">
        <w:rPr>
          <w:rFonts w:asciiTheme="majorHAnsi" w:hAnsiTheme="majorHAnsi" w:cstheme="majorHAnsi"/>
          <w:vertAlign w:val="subscript"/>
        </w:rPr>
        <w:t>2</w:t>
      </w:r>
      <w:r w:rsidRPr="00DC71B0">
        <w:rPr>
          <w:rFonts w:asciiTheme="majorHAnsi" w:hAnsiTheme="majorHAnsi" w:cstheme="majorHAnsi"/>
        </w:rPr>
        <w:t>) CEMS and a totalizing fuel flow meter per § 117.123(c)(1)(A) or §</w:t>
      </w:r>
      <w:r w:rsidR="00533488">
        <w:rPr>
          <w:rFonts w:asciiTheme="majorHAnsi" w:hAnsiTheme="majorHAnsi" w:cstheme="majorHAnsi"/>
        </w:rPr>
        <w:t> </w:t>
      </w:r>
      <w:r w:rsidRPr="00DC71B0">
        <w:rPr>
          <w:rFonts w:asciiTheme="majorHAnsi" w:hAnsiTheme="majorHAnsi" w:cstheme="majorHAnsi"/>
        </w:rPr>
        <w:t>117.423(c)(1)(A).</w:t>
      </w:r>
    </w:p>
    <w:p w14:paraId="55D4DBBD"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23C-B</w:t>
      </w:r>
      <w:r w:rsidRPr="00DC71B0">
        <w:rPr>
          <w:rFonts w:asciiTheme="majorHAnsi" w:hAnsiTheme="majorHAnsi" w:cstheme="majorHAnsi"/>
        </w:rPr>
        <w:tab/>
        <w:t>PEMS and a totalizing fuel flow meter per § 117.123(c)(1)(B) or § 117.423(c)(1)(B).</w:t>
      </w:r>
    </w:p>
    <w:p w14:paraId="61FECB28" w14:textId="77777777" w:rsidR="00D37DEA" w:rsidRDefault="00002E2D" w:rsidP="00533488">
      <w:pPr>
        <w:pStyle w:val="APDCodeList"/>
        <w:spacing w:after="120"/>
        <w:rPr>
          <w:rFonts w:asciiTheme="majorHAnsi" w:hAnsiTheme="majorHAnsi" w:cstheme="majorHAnsi"/>
        </w:rPr>
      </w:pPr>
      <w:r w:rsidRPr="00DC71B0">
        <w:rPr>
          <w:rFonts w:asciiTheme="majorHAnsi" w:hAnsiTheme="majorHAnsi" w:cstheme="majorHAnsi"/>
        </w:rPr>
        <w:t>23C-C</w:t>
      </w:r>
      <w:r w:rsidRPr="00DC71B0">
        <w:rPr>
          <w:rFonts w:asciiTheme="majorHAnsi" w:hAnsiTheme="majorHAnsi" w:cstheme="majorHAnsi"/>
        </w:rPr>
        <w:tab/>
        <w:t>Rate measured by hourly emission rate testing per § 117.123(c)(1)(C) or § 117.423(c)(1)(C). (Must use for § 117.115(f) opt-in units in the Beaumont/Port Arthur ozone nonattainment area)</w:t>
      </w:r>
    </w:p>
    <w:p w14:paraId="06C4B426" w14:textId="77777777" w:rsidR="00002E2D" w:rsidRPr="00DC71B0" w:rsidRDefault="00002E2D" w:rsidP="00002E2D">
      <w:pPr>
        <w:pStyle w:val="APDBody"/>
        <w:pBdr>
          <w:bottom w:val="double" w:sz="6" w:space="1" w:color="auto"/>
        </w:pBdr>
        <w:rPr>
          <w:rFonts w:asciiTheme="majorHAnsi" w:hAnsiTheme="majorHAnsi" w:cstheme="majorHAnsi"/>
        </w:rPr>
      </w:pPr>
    </w:p>
    <w:bookmarkStart w:id="6" w:name="Table1b"/>
    <w:p w14:paraId="433FB786" w14:textId="607AF075" w:rsidR="00002E2D" w:rsidRPr="00DC71B0" w:rsidRDefault="00C26383" w:rsidP="00002E2D">
      <w:pPr>
        <w:pStyle w:val="APDTable1stSpecific"/>
        <w:rPr>
          <w:rFonts w:asciiTheme="majorHAnsi" w:hAnsiTheme="majorHAnsi" w:cstheme="majorHAnsi"/>
        </w:rPr>
      </w:pPr>
      <w:r>
        <w:rPr>
          <w:rFonts w:asciiTheme="majorHAnsi" w:hAnsiTheme="majorHAnsi" w:cstheme="majorHAnsi"/>
        </w:rPr>
        <w:fldChar w:fldCharType="begin"/>
      </w:r>
      <w:r w:rsidR="002A186B">
        <w:rPr>
          <w:rFonts w:asciiTheme="majorHAnsi" w:hAnsiTheme="majorHAnsi" w:cstheme="majorHAnsi"/>
        </w:rPr>
        <w:instrText>HYPERLINK  \l "TBL1b" \o "Table 1b"</w:instrText>
      </w:r>
      <w:r>
        <w:rPr>
          <w:rFonts w:asciiTheme="majorHAnsi" w:hAnsiTheme="majorHAnsi" w:cstheme="majorHAnsi"/>
        </w:rPr>
      </w:r>
      <w:r>
        <w:rPr>
          <w:rFonts w:asciiTheme="majorHAnsi" w:hAnsiTheme="majorHAnsi" w:cstheme="majorHAnsi"/>
        </w:rPr>
        <w:fldChar w:fldCharType="separate"/>
      </w:r>
      <w:r w:rsidR="00002E2D" w:rsidRPr="004F70DF">
        <w:rPr>
          <w:rStyle w:val="Hyperlink"/>
        </w:rPr>
        <w:t>Table 1b</w:t>
      </w:r>
      <w:bookmarkEnd w:id="6"/>
      <w:r w:rsidR="00002E2D" w:rsidRPr="00C3489A">
        <w:rPr>
          <w:rStyle w:val="Hyperlink"/>
          <w:color w:val="auto"/>
          <w:u w:val="none"/>
        </w:rPr>
        <w:t>:</w:t>
      </w:r>
      <w:r>
        <w:rPr>
          <w:rFonts w:asciiTheme="majorHAnsi" w:hAnsiTheme="majorHAnsi" w:cstheme="majorHAnsi"/>
        </w:rPr>
        <w:fldChar w:fldCharType="end"/>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Process Heaters</w:t>
      </w:r>
    </w:p>
    <w:p w14:paraId="7E705F7A" w14:textId="77777777"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380BB652" w14:textId="77777777" w:rsidR="00002E2D" w:rsidRPr="00DC71B0"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 Unit Summary).</w:t>
      </w:r>
    </w:p>
    <w:p w14:paraId="345E29F4" w14:textId="77777777"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SOP</w:t>
      </w:r>
      <w:r w:rsidR="00894E9B">
        <w:rPr>
          <w:rFonts w:asciiTheme="majorHAnsi" w:hAnsiTheme="majorHAnsi" w:cstheme="majorHAnsi"/>
        </w:rPr>
        <w:t>/</w:t>
      </w:r>
      <w:r w:rsidR="00756ACE">
        <w:rPr>
          <w:rFonts w:asciiTheme="majorHAnsi" w:hAnsiTheme="majorHAnsi" w:cstheme="majorHAnsi"/>
        </w:rPr>
        <w:t>GOP</w:t>
      </w:r>
      <w:r w:rsidRPr="00DC71B0">
        <w:rPr>
          <w:rFonts w:asciiTheme="majorHAnsi" w:hAnsiTheme="majorHAnsi" w:cstheme="majorHAnsi"/>
        </w:rPr>
        <w:t xml:space="preserve"> Index No.:</w:t>
      </w:r>
    </w:p>
    <w:p w14:paraId="1B7C3808" w14:textId="30009505" w:rsidR="00002E2D" w:rsidRPr="00DC71B0"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Site operating permit (SOP) applicants should indicate the SOP index number for the unit or group of units (maximum</w:t>
      </w:r>
      <w:r w:rsidR="005612EC">
        <w:rPr>
          <w:rFonts w:asciiTheme="majorHAnsi" w:hAnsiTheme="majorHAnsi" w:cstheme="majorHAnsi"/>
        </w:rPr>
        <w:t> </w:t>
      </w:r>
      <w:r w:rsidRPr="00DC71B0">
        <w:rPr>
          <w:rFonts w:asciiTheme="majorHAnsi" w:hAnsiTheme="majorHAnsi" w:cstheme="majorHAnsi"/>
        </w:rPr>
        <w:t>15</w:t>
      </w:r>
      <w:r w:rsidR="005612EC">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bookmarkStart w:id="7" w:name="_Hlk10121702"/>
      <w:r w:rsidR="00756ACE" w:rsidRPr="00DC71B0">
        <w:rPr>
          <w:rFonts w:asciiTheme="majorHAnsi" w:hAnsiTheme="majorHAnsi" w:cstheme="majorHAnsi"/>
        </w:rPr>
        <w:t>General operating permit (GOP) applicants should indicate the appropriate GOP index number in this column from the applicable GOP table (SSS-FF-XXX). Applicants should</w:t>
      </w:r>
      <w:r w:rsidR="00756ACE">
        <w:rPr>
          <w:rFonts w:asciiTheme="majorHAnsi" w:hAnsiTheme="majorHAnsi" w:cstheme="majorHAnsi"/>
        </w:rPr>
        <w:t xml:space="preserve"> c</w:t>
      </w:r>
      <w:r w:rsidR="00756ACE" w:rsidRPr="00DC71B0">
        <w:rPr>
          <w:rFonts w:asciiTheme="majorHAnsi" w:hAnsiTheme="majorHAnsi" w:cstheme="majorHAnsi"/>
        </w:rPr>
        <w:t>omplete all applicable GOP attribute information before determining the GOP index number.</w:t>
      </w:r>
      <w:bookmarkEnd w:id="7"/>
      <w:r w:rsidR="00123291" w:rsidRPr="00123291">
        <w:rPr>
          <w:rFonts w:asciiTheme="majorHAnsi" w:hAnsiTheme="majorHAnsi" w:cstheme="majorHAnsi"/>
        </w:rPr>
        <w:t xml:space="preserve"> </w:t>
      </w:r>
      <w:r w:rsidR="00123291" w:rsidRPr="00DE6438">
        <w:rPr>
          <w:rFonts w:asciiTheme="majorHAnsi" w:hAnsiTheme="majorHAnsi" w:cstheme="majorHAnsi"/>
        </w:rPr>
        <w:t xml:space="preserve">For additional information relating to </w:t>
      </w:r>
      <w:r w:rsidR="00123291" w:rsidRPr="00712AEC">
        <w:rPr>
          <w:rFonts w:asciiTheme="majorHAnsi" w:hAnsiTheme="majorHAnsi" w:cstheme="majorHAnsi"/>
        </w:rPr>
        <w:t xml:space="preserve">SOP and GOP index numbers, please see the Completing FOP Applications – Additional Guidance on the TCEQ website at </w:t>
      </w:r>
      <w:hyperlink r:id="rId12" w:tooltip="TCEQ - Completing FOP Applications - Additional Guidance" w:history="1">
        <w:r w:rsidR="00123291" w:rsidRPr="009D4860">
          <w:rPr>
            <w:rStyle w:val="Hyperlink"/>
          </w:rPr>
          <w:t>www.tceq.texas.gov/permitting/air/guidance/titlev/tv_fop_guidance.html</w:t>
        </w:r>
      </w:hyperlink>
      <w:r w:rsidR="00123291" w:rsidRPr="00273CFE">
        <w:rPr>
          <w:rStyle w:val="Hyperlink"/>
        </w:rPr>
        <w:t>.</w:t>
      </w:r>
    </w:p>
    <w:p w14:paraId="077E3BD7" w14:textId="77777777"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Diluent CEMS:</w:t>
      </w:r>
    </w:p>
    <w:p w14:paraId="10CA4BAC" w14:textId="77777777" w:rsidR="00002E2D" w:rsidRPr="00DC71B0"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Enter “YES” if the process heater operates with a carbon dioxide (CO</w:t>
      </w:r>
      <w:r w:rsidRPr="005728A6">
        <w:rPr>
          <w:rFonts w:asciiTheme="majorHAnsi" w:hAnsiTheme="majorHAnsi" w:cstheme="majorHAnsi"/>
          <w:vertAlign w:val="subscript"/>
        </w:rPr>
        <w:t>2</w:t>
      </w:r>
      <w:r w:rsidRPr="00DC71B0">
        <w:rPr>
          <w:rFonts w:asciiTheme="majorHAnsi" w:hAnsiTheme="majorHAnsi" w:cstheme="majorHAnsi"/>
        </w:rPr>
        <w:t>) CEMS to monitor diluent. Otherwise, enter “NO.”</w:t>
      </w:r>
    </w:p>
    <w:p w14:paraId="3BC5D18A" w14:textId="77777777" w:rsidR="00002E2D" w:rsidRPr="00DC71B0" w:rsidRDefault="00002E2D" w:rsidP="001A3676">
      <w:pPr>
        <w:pStyle w:val="APDCompleteStarStyle"/>
      </w:pPr>
      <w:r w:rsidRPr="00DC71B0">
        <w:t>Complete “30 TAC Chapter 116 Limit” only if the site is located in the Beaumont/Port Arthur ozone nonattainment area.</w:t>
      </w:r>
    </w:p>
    <w:p w14:paraId="2F045C9F" w14:textId="77777777" w:rsidR="00002E2D" w:rsidRPr="00DC71B0" w:rsidRDefault="00002E2D" w:rsidP="00C24334">
      <w:pPr>
        <w:pStyle w:val="APDBodyBOLDheader"/>
        <w:tabs>
          <w:tab w:val="left" w:pos="0"/>
        </w:tabs>
        <w:rPr>
          <w:rFonts w:asciiTheme="majorHAnsi" w:hAnsiTheme="majorHAnsi" w:cstheme="majorHAnsi"/>
        </w:rPr>
      </w:pPr>
      <w:r w:rsidRPr="00DC71B0">
        <w:rPr>
          <w:rFonts w:asciiTheme="majorHAnsi" w:hAnsiTheme="majorHAnsi" w:cstheme="majorHAnsi"/>
        </w:rPr>
        <w:t>30 TAC Chapter 116 Limit:</w:t>
      </w:r>
    </w:p>
    <w:p w14:paraId="55621029" w14:textId="77777777" w:rsidR="00002E2D" w:rsidRPr="00DC71B0" w:rsidRDefault="00002E2D" w:rsidP="00C24334">
      <w:pPr>
        <w:pStyle w:val="APDBody"/>
        <w:tabs>
          <w:tab w:val="left" w:pos="0"/>
        </w:tabs>
        <w:rPr>
          <w:rFonts w:asciiTheme="majorHAnsi" w:hAnsiTheme="majorHAnsi" w:cstheme="majorHAnsi"/>
        </w:rPr>
      </w:pPr>
      <w:r w:rsidRPr="00DC71B0">
        <w:rPr>
          <w:rFonts w:asciiTheme="majorHAnsi" w:hAnsiTheme="majorHAnsi" w:cstheme="majorHAnsi"/>
        </w:rPr>
        <w:t>Select one of the following descriptions of the 30 TAC Chapter 116 permit limit. Enter the code on the form.</w:t>
      </w:r>
    </w:p>
    <w:p w14:paraId="2E12CAEA" w14:textId="77777777" w:rsidR="00002E2D" w:rsidRPr="00DC71B0" w:rsidRDefault="00002E2D" w:rsidP="00C24334">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units having a 30 TAC Chapter 116 permit in effect on June 9, 1993:</w:t>
      </w:r>
    </w:p>
    <w:p w14:paraId="21FF3A91" w14:textId="77777777" w:rsidR="000E4846" w:rsidRPr="00DC71B0" w:rsidRDefault="000E4846"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776920F"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93Y</w:t>
      </w:r>
      <w:r w:rsidRPr="00DC71B0">
        <w:rPr>
          <w:rFonts w:asciiTheme="majorHAnsi" w:hAnsiTheme="majorHAnsi" w:cstheme="majorHAnsi"/>
        </w:rPr>
        <w:tab/>
        <w:t>Nitrogen oxides (NOx) emission limit in 30 TAC § 117.105 is greater than the NOx emission limit in a 30 TAC Chapter 116 permit</w:t>
      </w:r>
    </w:p>
    <w:p w14:paraId="7ACE2AED"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93N</w:t>
      </w:r>
      <w:r w:rsidRPr="00DC71B0">
        <w:rPr>
          <w:rFonts w:asciiTheme="majorHAnsi" w:hAnsiTheme="majorHAnsi" w:cstheme="majorHAnsi"/>
        </w:rPr>
        <w:tab/>
        <w:t>NOx emission limit in 30 TAC § 117.105 is not greater than the NOx emission limit in a 30 TAC Chapter 116 permit</w:t>
      </w:r>
    </w:p>
    <w:p w14:paraId="7614FD53" w14:textId="77777777" w:rsidR="009204D8" w:rsidRDefault="009204D8">
      <w:pPr>
        <w:rPr>
          <w:rFonts w:asciiTheme="majorHAnsi" w:hAnsiTheme="majorHAnsi" w:cstheme="majorHAnsi"/>
        </w:rPr>
      </w:pPr>
      <w:r>
        <w:rPr>
          <w:rFonts w:asciiTheme="majorHAnsi" w:hAnsiTheme="majorHAnsi" w:cstheme="majorHAnsi"/>
        </w:rPr>
        <w:br w:type="page"/>
      </w:r>
    </w:p>
    <w:p w14:paraId="5251D25D" w14:textId="64FCEBD2" w:rsidR="00002E2D" w:rsidRPr="00DC71B0" w:rsidRDefault="00002E2D" w:rsidP="006A2A0C">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lastRenderedPageBreak/>
        <w:t>For units placed into service after June 9, 1993</w:t>
      </w:r>
      <w:r w:rsidR="00B324DF">
        <w:rPr>
          <w:rFonts w:asciiTheme="majorHAnsi" w:hAnsiTheme="majorHAnsi" w:cstheme="majorHAnsi"/>
        </w:rPr>
        <w:t>,</w:t>
      </w:r>
      <w:r w:rsidRPr="00DC71B0">
        <w:rPr>
          <w:rFonts w:asciiTheme="majorHAnsi" w:hAnsiTheme="majorHAnsi" w:cstheme="majorHAnsi"/>
        </w:rPr>
        <w:t xml:space="preserve"> and prior to the final compliance date specified in </w:t>
      </w:r>
      <w:r w:rsidR="00BA02CB" w:rsidRPr="00DC71B0">
        <w:rPr>
          <w:rFonts w:asciiTheme="majorHAnsi" w:hAnsiTheme="majorHAnsi" w:cstheme="majorHAnsi"/>
        </w:rPr>
        <w:br/>
      </w:r>
      <w:r w:rsidRPr="00DC71B0">
        <w:rPr>
          <w:rFonts w:asciiTheme="majorHAnsi" w:hAnsiTheme="majorHAnsi" w:cstheme="majorHAnsi"/>
        </w:rPr>
        <w:t>30 TAC §§ 117.9000, 117.9010 or 117.9020, as functionally identical replacement for an existing unit or group of units and limited to the cumulative MRC of the units replaced:</w:t>
      </w:r>
    </w:p>
    <w:p w14:paraId="280014D3" w14:textId="77777777" w:rsidR="00002E2D" w:rsidRPr="00DC71B0" w:rsidRDefault="00002E2D"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262BB0BB" w14:textId="644A54E1"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95Y</w:t>
      </w:r>
      <w:r w:rsidRPr="00DC71B0">
        <w:rPr>
          <w:rFonts w:asciiTheme="majorHAnsi" w:hAnsiTheme="majorHAnsi" w:cstheme="majorHAnsi"/>
        </w:rPr>
        <w:tab/>
        <w:t>Emission limit in 30 TAC § 117.105 is greater than the NOx emission limit in any 30 TAC Chapter 116 permit issued after June 9, 1993</w:t>
      </w:r>
    </w:p>
    <w:p w14:paraId="7527B3BF" w14:textId="12A71FD8" w:rsidR="006C00B3" w:rsidRDefault="00002E2D" w:rsidP="00533488">
      <w:pPr>
        <w:pStyle w:val="APDCodeList"/>
        <w:rPr>
          <w:rFonts w:asciiTheme="majorHAnsi" w:hAnsiTheme="majorHAnsi" w:cstheme="majorHAnsi"/>
        </w:rPr>
      </w:pPr>
      <w:r w:rsidRPr="00DC71B0">
        <w:rPr>
          <w:rFonts w:asciiTheme="majorHAnsi" w:hAnsiTheme="majorHAnsi" w:cstheme="majorHAnsi"/>
        </w:rPr>
        <w:t>95N</w:t>
      </w:r>
      <w:r w:rsidRPr="00DC71B0">
        <w:rPr>
          <w:rFonts w:asciiTheme="majorHAnsi" w:hAnsiTheme="majorHAnsi" w:cstheme="majorHAnsi"/>
        </w:rPr>
        <w:tab/>
        <w:t>Emission limit in 30 TAC § 117.105, is not greater than the NOx emission limit in any 30 TAC Chapter 116 permit issued after June 9, 1993</w:t>
      </w:r>
    </w:p>
    <w:p w14:paraId="7E572A39" w14:textId="55EFCC1A" w:rsidR="00002E2D" w:rsidRPr="00DC71B0" w:rsidRDefault="00002E2D" w:rsidP="006A2A0C">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existing units without a 30 TAC Chapter 116 permit in effect on June 9, 1993</w:t>
      </w:r>
      <w:r w:rsidR="00B324DF">
        <w:rPr>
          <w:rFonts w:asciiTheme="majorHAnsi" w:hAnsiTheme="majorHAnsi" w:cstheme="majorHAnsi"/>
        </w:rPr>
        <w:t>,</w:t>
      </w:r>
      <w:r w:rsidRPr="00DC71B0">
        <w:rPr>
          <w:rFonts w:asciiTheme="majorHAnsi" w:hAnsiTheme="majorHAnsi" w:cstheme="majorHAnsi"/>
        </w:rPr>
        <w:t xml:space="preserve"> or for units placed in service after the final compliance date of 30 TAC §§ 117.9000, 117.9010 or 117.9020 as a functionally identical replacement for an existing unit or group of units and limited to the cumulative MRC of the units replaced:</w:t>
      </w:r>
    </w:p>
    <w:p w14:paraId="70FBCEA1" w14:textId="77777777" w:rsidR="000E4846" w:rsidRPr="00DC71B0" w:rsidRDefault="000E4846"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0732F57F" w14:textId="77777777" w:rsidR="0079367D" w:rsidRDefault="00002E2D" w:rsidP="00533488">
      <w:pPr>
        <w:pStyle w:val="APDCodeList"/>
        <w:rPr>
          <w:rFonts w:asciiTheme="majorHAnsi" w:hAnsiTheme="majorHAnsi" w:cstheme="majorHAnsi"/>
        </w:rPr>
      </w:pPr>
      <w:r w:rsidRPr="00DC71B0">
        <w:rPr>
          <w:rFonts w:asciiTheme="majorHAnsi" w:hAnsiTheme="majorHAnsi" w:cstheme="majorHAnsi"/>
        </w:rPr>
        <w:t>N/A</w:t>
      </w:r>
      <w:r w:rsidRPr="00DC71B0">
        <w:rPr>
          <w:rFonts w:asciiTheme="majorHAnsi" w:hAnsiTheme="majorHAnsi" w:cstheme="majorHAnsi"/>
        </w:rPr>
        <w:tab/>
        <w:t xml:space="preserve">NOx emission limit in 30 TAC § 117.105 applies for purposes of 30 TAC Chapter 117 </w:t>
      </w:r>
    </w:p>
    <w:p w14:paraId="4900B81E" w14:textId="77777777" w:rsidR="00002E2D" w:rsidRPr="00DC71B0" w:rsidRDefault="00002E2D" w:rsidP="006A2A0C">
      <w:pPr>
        <w:pStyle w:val="APDBodyBOLDheader"/>
        <w:tabs>
          <w:tab w:val="left" w:pos="0"/>
        </w:tabs>
        <w:rPr>
          <w:rFonts w:asciiTheme="majorHAnsi" w:hAnsiTheme="majorHAnsi" w:cstheme="majorHAnsi"/>
        </w:rPr>
      </w:pPr>
      <w:r w:rsidRPr="00DC71B0">
        <w:rPr>
          <w:rFonts w:asciiTheme="majorHAnsi" w:hAnsiTheme="majorHAnsi" w:cstheme="majorHAnsi"/>
        </w:rPr>
        <w:t>NOx Emission Limit Basis:</w:t>
      </w:r>
    </w:p>
    <w:p w14:paraId="3BA42C78" w14:textId="77777777" w:rsidR="00002E2D" w:rsidRPr="00DC71B0" w:rsidRDefault="00002E2D" w:rsidP="006A2A0C">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for complying with the nitrogen oxides (NOx) emission limit. Enter the code on the form.</w:t>
      </w:r>
    </w:p>
    <w:p w14:paraId="244ABBB5" w14:textId="77777777" w:rsidR="000E4846" w:rsidRPr="00DC71B0" w:rsidRDefault="000E4846"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620FC680"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30DAY</w:t>
      </w:r>
      <w:r w:rsidRPr="00DC71B0">
        <w:rPr>
          <w:rFonts w:asciiTheme="majorHAnsi" w:hAnsiTheme="majorHAnsi" w:cstheme="majorHAnsi"/>
        </w:rPr>
        <w:tab/>
      </w:r>
      <w:r w:rsidR="00A94735" w:rsidRPr="00A94735">
        <w:rPr>
          <w:rFonts w:asciiTheme="majorHAnsi" w:hAnsiTheme="majorHAnsi" w:cstheme="majorHAnsi"/>
        </w:rPr>
        <w:t>Complying with the</w:t>
      </w:r>
      <w:r w:rsidR="00A94735" w:rsidRPr="00A94735">
        <w:rPr>
          <w:rFonts w:ascii="Georgia" w:hAnsi="Georgia" w:cstheme="minorBidi"/>
          <w:color w:val="FF0000"/>
        </w:rPr>
        <w:t xml:space="preserve"> </w:t>
      </w:r>
      <w:r w:rsidR="00A94735" w:rsidRPr="00A94735">
        <w:rPr>
          <w:rFonts w:asciiTheme="majorHAnsi" w:hAnsiTheme="majorHAnsi" w:cstheme="majorHAnsi"/>
        </w:rPr>
        <w:t xml:space="preserve">applicable </w:t>
      </w:r>
      <w:r w:rsidR="00A94735">
        <w:rPr>
          <w:rFonts w:asciiTheme="majorHAnsi" w:hAnsiTheme="majorHAnsi" w:cstheme="majorHAnsi"/>
        </w:rPr>
        <w:t>e</w:t>
      </w:r>
      <w:r w:rsidRPr="00DC71B0">
        <w:rPr>
          <w:rFonts w:asciiTheme="majorHAnsi" w:hAnsiTheme="majorHAnsi" w:cstheme="majorHAnsi"/>
        </w:rPr>
        <w:t xml:space="preserve">mission limit in </w:t>
      </w:r>
      <w:proofErr w:type="spellStart"/>
      <w:r w:rsidRPr="00DC71B0">
        <w:rPr>
          <w:rFonts w:asciiTheme="majorHAnsi" w:hAnsiTheme="majorHAnsi" w:cstheme="majorHAnsi"/>
        </w:rPr>
        <w:t>lb</w:t>
      </w:r>
      <w:proofErr w:type="spellEnd"/>
      <w:r w:rsidRPr="00DC71B0">
        <w:rPr>
          <w:rFonts w:asciiTheme="majorHAnsi" w:hAnsiTheme="majorHAnsi" w:cstheme="majorHAnsi"/>
        </w:rPr>
        <w:t>/MMBtu on a rolling 30-day average</w:t>
      </w:r>
    </w:p>
    <w:p w14:paraId="123EFBBD"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BLK1-LB</w:t>
      </w:r>
      <w:r w:rsidRPr="00DC71B0">
        <w:rPr>
          <w:rFonts w:asciiTheme="majorHAnsi" w:hAnsiTheme="majorHAnsi" w:cstheme="majorHAnsi"/>
        </w:rPr>
        <w:tab/>
      </w:r>
      <w:r w:rsidR="00A94735" w:rsidRPr="00A94735">
        <w:rPr>
          <w:rFonts w:asciiTheme="majorHAnsi" w:hAnsiTheme="majorHAnsi" w:cstheme="majorHAnsi"/>
        </w:rPr>
        <w:t>Complying with the</w:t>
      </w:r>
      <w:r w:rsidR="00A94735" w:rsidRPr="00A94735">
        <w:rPr>
          <w:rFonts w:ascii="Georgia" w:hAnsi="Georgia" w:cstheme="minorBidi"/>
          <w:color w:val="FF0000"/>
        </w:rPr>
        <w:t xml:space="preserve"> </w:t>
      </w:r>
      <w:r w:rsidR="00A94735" w:rsidRPr="00A94735">
        <w:rPr>
          <w:rFonts w:asciiTheme="majorHAnsi" w:hAnsiTheme="majorHAnsi" w:cstheme="majorHAnsi"/>
        </w:rPr>
        <w:t xml:space="preserve">applicable </w:t>
      </w:r>
      <w:r w:rsidR="00A94735">
        <w:rPr>
          <w:rFonts w:asciiTheme="majorHAnsi" w:hAnsiTheme="majorHAnsi" w:cstheme="majorHAnsi"/>
        </w:rPr>
        <w:t>e</w:t>
      </w:r>
      <w:r w:rsidRPr="00DC71B0">
        <w:rPr>
          <w:rFonts w:asciiTheme="majorHAnsi" w:hAnsiTheme="majorHAnsi" w:cstheme="majorHAnsi"/>
        </w:rPr>
        <w:t xml:space="preserve">mission limit </w:t>
      </w:r>
      <w:r w:rsidR="00A94735">
        <w:rPr>
          <w:rFonts w:asciiTheme="majorHAnsi" w:hAnsiTheme="majorHAnsi" w:cstheme="majorHAnsi"/>
        </w:rPr>
        <w:t xml:space="preserve">using </w:t>
      </w:r>
      <w:r w:rsidRPr="00DC71B0">
        <w:rPr>
          <w:rFonts w:asciiTheme="majorHAnsi" w:hAnsiTheme="majorHAnsi" w:cstheme="majorHAnsi"/>
        </w:rPr>
        <w:t xml:space="preserve">a block one-hour average </w:t>
      </w:r>
    </w:p>
    <w:p w14:paraId="154C2FF8"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r>
      <w:proofErr w:type="spellStart"/>
      <w:r w:rsidRPr="00DC71B0">
        <w:rPr>
          <w:rFonts w:asciiTheme="majorHAnsi" w:hAnsiTheme="majorHAnsi" w:cstheme="majorHAnsi"/>
        </w:rPr>
        <w:t>Other</w:t>
      </w:r>
      <w:proofErr w:type="spellEnd"/>
      <w:r w:rsidRPr="00DC71B0">
        <w:rPr>
          <w:rFonts w:asciiTheme="majorHAnsi" w:hAnsiTheme="majorHAnsi" w:cstheme="majorHAnsi"/>
        </w:rPr>
        <w:t xml:space="preserve"> emission limit basis</w:t>
      </w:r>
    </w:p>
    <w:p w14:paraId="6D0791E5" w14:textId="77777777" w:rsidR="00002E2D" w:rsidRPr="00DC71B0" w:rsidRDefault="00002E2D" w:rsidP="006A2A0C">
      <w:pPr>
        <w:pStyle w:val="APDBodyBOLDheader"/>
        <w:tabs>
          <w:tab w:val="left" w:pos="0"/>
        </w:tabs>
        <w:rPr>
          <w:rFonts w:asciiTheme="majorHAnsi" w:hAnsiTheme="majorHAnsi" w:cstheme="majorHAnsi"/>
        </w:rPr>
      </w:pPr>
      <w:r w:rsidRPr="00DC71B0">
        <w:rPr>
          <w:rFonts w:asciiTheme="majorHAnsi" w:hAnsiTheme="majorHAnsi" w:cstheme="majorHAnsi"/>
        </w:rPr>
        <w:t>NOx Reduction:</w:t>
      </w:r>
    </w:p>
    <w:p w14:paraId="5674FF4B" w14:textId="77777777" w:rsidR="00002E2D" w:rsidRPr="00DC71B0" w:rsidRDefault="00002E2D" w:rsidP="006A2A0C">
      <w:pPr>
        <w:pStyle w:val="APDBody"/>
        <w:tabs>
          <w:tab w:val="left" w:pos="0"/>
        </w:tabs>
        <w:rPr>
          <w:rFonts w:asciiTheme="majorHAnsi" w:hAnsiTheme="majorHAnsi" w:cstheme="majorHAnsi"/>
        </w:rPr>
      </w:pPr>
      <w:r w:rsidRPr="00DC71B0">
        <w:rPr>
          <w:rFonts w:asciiTheme="majorHAnsi" w:hAnsiTheme="majorHAnsi" w:cstheme="majorHAnsi"/>
        </w:rPr>
        <w:t>Select one of the following NOx reduction options. Enter the code on the form.</w:t>
      </w:r>
    </w:p>
    <w:p w14:paraId="6172B8E2" w14:textId="77777777" w:rsidR="000E4846" w:rsidRPr="00DC71B0" w:rsidRDefault="000E4846" w:rsidP="00533488">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092BB1BD"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FRCFG</w:t>
      </w:r>
      <w:r w:rsidRPr="00DC71B0">
        <w:rPr>
          <w:rFonts w:asciiTheme="majorHAnsi" w:hAnsiTheme="majorHAnsi" w:cstheme="majorHAnsi"/>
        </w:rPr>
        <w:tab/>
        <w:t>Forced flue gas recirculation</w:t>
      </w:r>
    </w:p>
    <w:p w14:paraId="6C4E47E5"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INDFG</w:t>
      </w:r>
      <w:r w:rsidRPr="00DC71B0">
        <w:rPr>
          <w:rFonts w:asciiTheme="majorHAnsi" w:hAnsiTheme="majorHAnsi" w:cstheme="majorHAnsi"/>
        </w:rPr>
        <w:tab/>
        <w:t>Induced flue gas recirculation</w:t>
      </w:r>
    </w:p>
    <w:p w14:paraId="12290ACA"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WATER</w:t>
      </w:r>
      <w:r w:rsidRPr="00DC71B0">
        <w:rPr>
          <w:rFonts w:asciiTheme="majorHAnsi" w:hAnsiTheme="majorHAnsi" w:cstheme="majorHAnsi"/>
        </w:rPr>
        <w:tab/>
      </w:r>
      <w:proofErr w:type="spellStart"/>
      <w:r w:rsidRPr="00DC71B0">
        <w:rPr>
          <w:rFonts w:asciiTheme="majorHAnsi" w:hAnsiTheme="majorHAnsi" w:cstheme="majorHAnsi"/>
        </w:rPr>
        <w:t>Water</w:t>
      </w:r>
      <w:proofErr w:type="spellEnd"/>
      <w:r w:rsidRPr="00DC71B0">
        <w:rPr>
          <w:rFonts w:asciiTheme="majorHAnsi" w:hAnsiTheme="majorHAnsi" w:cstheme="majorHAnsi"/>
        </w:rPr>
        <w:t xml:space="preserve"> or steam injection</w:t>
      </w:r>
    </w:p>
    <w:p w14:paraId="4B8F9EC1"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POST1</w:t>
      </w:r>
      <w:r w:rsidRPr="00DC71B0">
        <w:rPr>
          <w:rFonts w:asciiTheme="majorHAnsi" w:hAnsiTheme="majorHAnsi" w:cstheme="majorHAnsi"/>
        </w:rPr>
        <w:tab/>
        <w:t>Post combustion control technique with ammonia or urea injection</w:t>
      </w:r>
    </w:p>
    <w:p w14:paraId="5FCA34DE"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POST2</w:t>
      </w:r>
      <w:r w:rsidRPr="00DC71B0">
        <w:rPr>
          <w:rFonts w:asciiTheme="majorHAnsi" w:hAnsiTheme="majorHAnsi" w:cstheme="majorHAnsi"/>
        </w:rPr>
        <w:tab/>
        <w:t>Post combustion control technique with chemical reagent injection other than ammonia or urea</w:t>
      </w:r>
    </w:p>
    <w:p w14:paraId="6B5B11EC" w14:textId="20B3805D"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r>
      <w:proofErr w:type="spellStart"/>
      <w:r w:rsidRPr="00DC71B0">
        <w:rPr>
          <w:rFonts w:asciiTheme="majorHAnsi" w:hAnsiTheme="majorHAnsi" w:cstheme="majorHAnsi"/>
        </w:rPr>
        <w:t>Other</w:t>
      </w:r>
      <w:proofErr w:type="spellEnd"/>
      <w:r w:rsidRPr="00DC71B0">
        <w:rPr>
          <w:rFonts w:asciiTheme="majorHAnsi" w:hAnsiTheme="majorHAnsi" w:cstheme="majorHAnsi"/>
        </w:rPr>
        <w:t xml:space="preserve"> </w:t>
      </w:r>
      <w:r w:rsidR="00E150A2">
        <w:rPr>
          <w:rFonts w:asciiTheme="majorHAnsi" w:hAnsiTheme="majorHAnsi" w:cstheme="majorHAnsi"/>
        </w:rPr>
        <w:t>NOx reduction method</w:t>
      </w:r>
    </w:p>
    <w:p w14:paraId="1FCB6C71" w14:textId="77777777" w:rsidR="00002E2D" w:rsidRPr="00DC71B0" w:rsidRDefault="00002E2D" w:rsidP="00533488">
      <w:pPr>
        <w:pStyle w:val="APDCodeList"/>
        <w:rPr>
          <w:rFonts w:asciiTheme="majorHAnsi" w:hAnsiTheme="majorHAnsi" w:cstheme="majorHAnsi"/>
        </w:rPr>
      </w:pPr>
      <w:r w:rsidRPr="00DC71B0">
        <w:rPr>
          <w:rFonts w:asciiTheme="majorHAnsi" w:hAnsiTheme="majorHAnsi" w:cstheme="majorHAnsi"/>
        </w:rPr>
        <w:t>NONE</w:t>
      </w:r>
      <w:r w:rsidRPr="00DC71B0">
        <w:rPr>
          <w:rFonts w:asciiTheme="majorHAnsi" w:hAnsiTheme="majorHAnsi" w:cstheme="majorHAnsi"/>
        </w:rPr>
        <w:tab/>
        <w:t>No</w:t>
      </w:r>
      <w:r w:rsidR="00615652">
        <w:rPr>
          <w:rFonts w:asciiTheme="majorHAnsi" w:hAnsiTheme="majorHAnsi" w:cstheme="majorHAnsi"/>
        </w:rPr>
        <w:t xml:space="preserve"> NOx reduction</w:t>
      </w:r>
    </w:p>
    <w:p w14:paraId="5A0BFF7E" w14:textId="77777777" w:rsidR="00002E2D" w:rsidRPr="00DC71B0" w:rsidRDefault="00002E2D" w:rsidP="000E4846">
      <w:pPr>
        <w:pStyle w:val="APDCompleteStarStyle"/>
      </w:pPr>
      <w:r w:rsidRPr="00DC71B0">
        <w:t>Complete “Common Stack Combined” only if the unit is located in the Beaumont/Port Arthur ozone nonattainment area</w:t>
      </w:r>
    </w:p>
    <w:p w14:paraId="195579D0" w14:textId="77777777" w:rsidR="00002E2D" w:rsidRPr="00DC71B0" w:rsidRDefault="00002E2D" w:rsidP="006A2A0C">
      <w:pPr>
        <w:pStyle w:val="APDBodyBOLDheader"/>
        <w:tabs>
          <w:tab w:val="left" w:pos="0"/>
        </w:tabs>
        <w:rPr>
          <w:rFonts w:asciiTheme="majorHAnsi" w:hAnsiTheme="majorHAnsi" w:cstheme="majorHAnsi"/>
        </w:rPr>
      </w:pPr>
      <w:r w:rsidRPr="00DC71B0">
        <w:rPr>
          <w:rFonts w:asciiTheme="majorHAnsi" w:hAnsiTheme="majorHAnsi" w:cstheme="majorHAnsi"/>
        </w:rPr>
        <w:t>Common Stack Combined:</w:t>
      </w:r>
    </w:p>
    <w:p w14:paraId="7F2EEFC2" w14:textId="77777777" w:rsidR="00002E2D" w:rsidRPr="00DC71B0" w:rsidRDefault="00002E2D" w:rsidP="006A2A0C">
      <w:pPr>
        <w:pStyle w:val="APDBody"/>
        <w:tabs>
          <w:tab w:val="left" w:pos="0"/>
        </w:tabs>
        <w:rPr>
          <w:rFonts w:asciiTheme="majorHAnsi" w:hAnsiTheme="majorHAnsi" w:cstheme="majorHAnsi"/>
        </w:rPr>
      </w:pPr>
      <w:r w:rsidRPr="00DC71B0">
        <w:rPr>
          <w:rFonts w:asciiTheme="majorHAnsi" w:hAnsiTheme="majorHAnsi" w:cstheme="majorHAnsi"/>
        </w:rPr>
        <w:t>Enter “YES” if the unit is vented through a common stack; the total rated heat input from combined units is greater than or equal to 250 MMBtu/</w:t>
      </w:r>
      <w:proofErr w:type="spellStart"/>
      <w:r w:rsidRPr="00DC71B0">
        <w:rPr>
          <w:rFonts w:asciiTheme="majorHAnsi" w:hAnsiTheme="majorHAnsi" w:cstheme="majorHAnsi"/>
        </w:rPr>
        <w:t>hr</w:t>
      </w:r>
      <w:proofErr w:type="spellEnd"/>
      <w:r w:rsidRPr="00DC71B0">
        <w:rPr>
          <w:rFonts w:asciiTheme="majorHAnsi" w:hAnsiTheme="majorHAnsi" w:cstheme="majorHAnsi"/>
        </w:rPr>
        <w:t>: and the annual combined heat input is greater than 2.2</w:t>
      </w:r>
      <w:r w:rsidR="00615652">
        <w:rPr>
          <w:rFonts w:asciiTheme="majorHAnsi" w:hAnsiTheme="majorHAnsi" w:cstheme="majorHAnsi"/>
        </w:rPr>
        <w:t xml:space="preserve"> </w:t>
      </w:r>
      <w:r w:rsidRPr="00DC71B0">
        <w:rPr>
          <w:rFonts w:asciiTheme="majorHAnsi" w:hAnsiTheme="majorHAnsi" w:cstheme="majorHAnsi"/>
        </w:rPr>
        <w:t>(10</w:t>
      </w:r>
      <w:r w:rsidRPr="005728A6">
        <w:rPr>
          <w:rFonts w:asciiTheme="majorHAnsi" w:hAnsiTheme="majorHAnsi" w:cstheme="majorHAnsi"/>
          <w:vertAlign w:val="superscript"/>
        </w:rPr>
        <w:t>11</w:t>
      </w:r>
      <w:r w:rsidRPr="00DC71B0">
        <w:rPr>
          <w:rFonts w:asciiTheme="majorHAnsi" w:hAnsiTheme="majorHAnsi" w:cstheme="majorHAnsi"/>
        </w:rPr>
        <w:t>) Btu/yr. Otherwise, enter “NO.”</w:t>
      </w:r>
    </w:p>
    <w:p w14:paraId="46B0E574" w14:textId="4FCD86B7" w:rsidR="00494BE2" w:rsidRDefault="00002E2D" w:rsidP="00931B29">
      <w:pPr>
        <w:pStyle w:val="APDCompleteStarStyle"/>
      </w:pPr>
      <w:r w:rsidRPr="00DC71B0">
        <w:t>Complete “Fuel Type Heat Input” only if “NOx Emission Limitation” is “APES” (Beaumont/Port Arthur ozone nonattainment area).</w:t>
      </w:r>
    </w:p>
    <w:p w14:paraId="109C1B3C" w14:textId="6D4151E7" w:rsidR="00002E2D" w:rsidRPr="00494BE2" w:rsidRDefault="00494BE2" w:rsidP="00273CFE">
      <w:r>
        <w:br w:type="page"/>
      </w:r>
    </w:p>
    <w:p w14:paraId="0B5F7646"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lastRenderedPageBreak/>
        <w:t>Fuel Type Heat Input:</w:t>
      </w:r>
    </w:p>
    <w:p w14:paraId="68491AD1" w14:textId="77777777" w:rsidR="00002E2D" w:rsidRPr="00DC71B0" w:rsidRDefault="00002E2D" w:rsidP="00931B29">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for the fuel type heat input. Enter the code on the form.</w:t>
      </w:r>
    </w:p>
    <w:p w14:paraId="5796B764" w14:textId="77777777" w:rsidR="000E4846" w:rsidRPr="00DC71B0" w:rsidRDefault="000E4846" w:rsidP="001476D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4C064DA5" w14:textId="77777777" w:rsidR="00002E2D" w:rsidRPr="00DC71B0" w:rsidRDefault="00002E2D" w:rsidP="001476D7">
      <w:pPr>
        <w:pStyle w:val="APDCodeList"/>
        <w:rPr>
          <w:rFonts w:asciiTheme="majorHAnsi" w:hAnsiTheme="majorHAnsi" w:cstheme="majorHAnsi"/>
        </w:rPr>
      </w:pPr>
      <w:r w:rsidRPr="00DC71B0">
        <w:rPr>
          <w:rFonts w:asciiTheme="majorHAnsi" w:hAnsiTheme="majorHAnsi" w:cstheme="majorHAnsi"/>
        </w:rPr>
        <w:t>GAS50</w:t>
      </w:r>
      <w:r w:rsidRPr="00DC71B0">
        <w:rPr>
          <w:rFonts w:asciiTheme="majorHAnsi" w:hAnsiTheme="majorHAnsi" w:cstheme="majorHAnsi"/>
        </w:rPr>
        <w:tab/>
        <w:t>Process heater is fired with gaseous and liquid fuel, and derives more than 50% annual heat input from gaseous fuel</w:t>
      </w:r>
    </w:p>
    <w:p w14:paraId="68838CAA" w14:textId="1D14941B" w:rsidR="009204D8" w:rsidRDefault="00002E2D" w:rsidP="00273CFE">
      <w:pPr>
        <w:pStyle w:val="APDCodeList"/>
      </w:pPr>
      <w:r w:rsidRPr="00DC71B0">
        <w:rPr>
          <w:rFonts w:asciiTheme="majorHAnsi" w:hAnsiTheme="majorHAnsi" w:cstheme="majorHAnsi"/>
        </w:rPr>
        <w:t>LIQ50</w:t>
      </w:r>
      <w:r w:rsidRPr="00DC71B0">
        <w:rPr>
          <w:rFonts w:asciiTheme="majorHAnsi" w:hAnsiTheme="majorHAnsi" w:cstheme="majorHAnsi"/>
        </w:rPr>
        <w:tab/>
        <w:t>Process heater is fired with gaseous and liquid fuel, and derives more than 50% annual heat input from liquid fuel</w:t>
      </w:r>
    </w:p>
    <w:p w14:paraId="57DE95C6" w14:textId="77777777" w:rsidR="00002E2D" w:rsidRPr="00DC71B0" w:rsidRDefault="00002E2D" w:rsidP="001476D7">
      <w:pPr>
        <w:pStyle w:val="APDCodeList"/>
        <w:rPr>
          <w:rFonts w:asciiTheme="majorHAnsi" w:hAnsiTheme="majorHAnsi" w:cstheme="majorHAnsi"/>
        </w:rPr>
      </w:pPr>
      <w:r w:rsidRPr="00DC71B0">
        <w:rPr>
          <w:rFonts w:asciiTheme="majorHAnsi" w:hAnsiTheme="majorHAnsi" w:cstheme="majorHAnsi"/>
        </w:rPr>
        <w:t>SLDCOMBO</w:t>
      </w:r>
      <w:r w:rsidRPr="00DC71B0">
        <w:rPr>
          <w:rFonts w:asciiTheme="majorHAnsi" w:hAnsiTheme="majorHAnsi" w:cstheme="majorHAnsi"/>
        </w:rPr>
        <w:tab/>
        <w:t>Process heater is fired with a combination of either gaseous and solid fuels or of liquid and solid fuels</w:t>
      </w:r>
    </w:p>
    <w:p w14:paraId="1124AFEA" w14:textId="77777777" w:rsidR="00002E2D" w:rsidRPr="00DC71B0" w:rsidRDefault="00002E2D" w:rsidP="001476D7">
      <w:pPr>
        <w:pStyle w:val="APDCodeList"/>
        <w:rPr>
          <w:rFonts w:asciiTheme="majorHAnsi" w:hAnsiTheme="majorHAnsi" w:cstheme="majorHAnsi"/>
        </w:rPr>
      </w:pPr>
      <w:r w:rsidRPr="00DC71B0">
        <w:rPr>
          <w:rFonts w:asciiTheme="majorHAnsi" w:hAnsiTheme="majorHAnsi" w:cstheme="majorHAnsi"/>
        </w:rPr>
        <w:t>NONE</w:t>
      </w:r>
      <w:r w:rsidRPr="00DC71B0">
        <w:rPr>
          <w:rFonts w:asciiTheme="majorHAnsi" w:hAnsiTheme="majorHAnsi" w:cstheme="majorHAnsi"/>
        </w:rPr>
        <w:tab/>
        <w:t>Process heater is not fired with any of the above combinations</w:t>
      </w:r>
    </w:p>
    <w:p w14:paraId="477D5576" w14:textId="77777777" w:rsidR="00002E2D" w:rsidRPr="00DC71B0" w:rsidRDefault="00002E2D" w:rsidP="00931B29">
      <w:pPr>
        <w:pStyle w:val="APDItalicNOTE"/>
        <w:tabs>
          <w:tab w:val="left" w:pos="0"/>
        </w:tabs>
        <w:rPr>
          <w:rFonts w:asciiTheme="majorHAnsi" w:hAnsiTheme="majorHAnsi" w:cstheme="majorHAnsi"/>
        </w:rPr>
      </w:pPr>
      <w:r w:rsidRPr="00DC71B0">
        <w:rPr>
          <w:rFonts w:asciiTheme="majorHAnsi" w:hAnsiTheme="majorHAnsi" w:cstheme="majorHAnsi"/>
        </w:rPr>
        <w:t>Note: Process heaters that derive exactly 50% annual heat input from gaseous fuel and 50% from liquid fuel may choose either GAS50 or LIQ50.</w:t>
      </w:r>
    </w:p>
    <w:p w14:paraId="10EB9E30"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NOx Monitoring System:</w:t>
      </w:r>
    </w:p>
    <w:p w14:paraId="3A205B8C" w14:textId="77777777" w:rsidR="00002E2D" w:rsidRPr="00DC71B0" w:rsidRDefault="00002E2D" w:rsidP="00931B29">
      <w:pPr>
        <w:pStyle w:val="APDBody"/>
        <w:tabs>
          <w:tab w:val="left" w:pos="0"/>
        </w:tabs>
        <w:rPr>
          <w:rFonts w:asciiTheme="majorHAnsi" w:hAnsiTheme="majorHAnsi" w:cstheme="majorHAnsi"/>
        </w:rPr>
      </w:pPr>
      <w:r w:rsidRPr="00DC71B0">
        <w:rPr>
          <w:rFonts w:asciiTheme="majorHAnsi" w:hAnsiTheme="majorHAnsi" w:cstheme="majorHAnsi"/>
        </w:rPr>
        <w:t>Select the appropriate code to indicate the type of monitoring used. Enter the code on the form.</w:t>
      </w:r>
    </w:p>
    <w:p w14:paraId="0664E7F9"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For units without a monitoring system:</w:t>
      </w:r>
    </w:p>
    <w:p w14:paraId="6823F453" w14:textId="77777777" w:rsidR="000E4846" w:rsidRPr="00DC71B0" w:rsidRDefault="000E4846" w:rsidP="0062428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46610F2F" w14:textId="77777777" w:rsidR="00002E2D" w:rsidRPr="00DC71B0" w:rsidRDefault="00002E2D" w:rsidP="00624285">
      <w:pPr>
        <w:pStyle w:val="APDCodeList"/>
        <w:rPr>
          <w:rFonts w:asciiTheme="majorHAnsi" w:hAnsiTheme="majorHAnsi" w:cstheme="majorHAnsi"/>
        </w:rPr>
      </w:pPr>
      <w:r w:rsidRPr="00DC71B0">
        <w:rPr>
          <w:rFonts w:asciiTheme="majorHAnsi" w:hAnsiTheme="majorHAnsi" w:cstheme="majorHAnsi"/>
        </w:rPr>
        <w:t>MERT</w:t>
      </w:r>
      <w:r w:rsidRPr="00DC71B0">
        <w:rPr>
          <w:rFonts w:asciiTheme="majorHAnsi" w:hAnsiTheme="majorHAnsi" w:cstheme="majorHAnsi"/>
        </w:rPr>
        <w:tab/>
        <w:t>Maximum emission rate testing [in accordance with 30 TAC § 117.8000]</w:t>
      </w:r>
    </w:p>
    <w:p w14:paraId="149061A8"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For all other units:</w:t>
      </w:r>
    </w:p>
    <w:p w14:paraId="01FF2CDF" w14:textId="77777777" w:rsidR="000E4846" w:rsidRPr="00DC71B0" w:rsidRDefault="000E4846" w:rsidP="00624285">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35691B63" w14:textId="77777777" w:rsidR="00002E2D" w:rsidRPr="00DC71B0" w:rsidRDefault="00002E2D" w:rsidP="00624285">
      <w:pPr>
        <w:pStyle w:val="APDCodeList"/>
        <w:rPr>
          <w:rFonts w:asciiTheme="majorHAnsi" w:hAnsiTheme="majorHAnsi" w:cstheme="majorHAnsi"/>
        </w:rPr>
      </w:pPr>
      <w:r w:rsidRPr="00DC71B0">
        <w:rPr>
          <w:rFonts w:asciiTheme="majorHAnsi" w:hAnsiTheme="majorHAnsi" w:cstheme="majorHAnsi"/>
        </w:rPr>
        <w:t>CEMS</w:t>
      </w:r>
      <w:r w:rsidRPr="00DC71B0">
        <w:rPr>
          <w:rFonts w:asciiTheme="majorHAnsi" w:hAnsiTheme="majorHAnsi" w:cstheme="majorHAnsi"/>
        </w:rPr>
        <w:tab/>
        <w:t>Continuous emissions monitoring system</w:t>
      </w:r>
    </w:p>
    <w:p w14:paraId="1C4C7D89" w14:textId="77777777" w:rsidR="00002E2D" w:rsidRPr="00DC71B0" w:rsidRDefault="00002E2D" w:rsidP="00624285">
      <w:pPr>
        <w:pStyle w:val="APDCodeList"/>
        <w:rPr>
          <w:rFonts w:asciiTheme="majorHAnsi" w:hAnsiTheme="majorHAnsi" w:cstheme="majorHAnsi"/>
        </w:rPr>
      </w:pPr>
      <w:r w:rsidRPr="00DC71B0">
        <w:rPr>
          <w:rFonts w:asciiTheme="majorHAnsi" w:hAnsiTheme="majorHAnsi" w:cstheme="majorHAnsi"/>
        </w:rPr>
        <w:t>PEMS</w:t>
      </w:r>
      <w:r w:rsidRPr="00DC71B0">
        <w:rPr>
          <w:rFonts w:asciiTheme="majorHAnsi" w:hAnsiTheme="majorHAnsi" w:cstheme="majorHAnsi"/>
        </w:rPr>
        <w:tab/>
        <w:t xml:space="preserve">Predictive emissions monitoring system </w:t>
      </w:r>
    </w:p>
    <w:p w14:paraId="3D78AFB6" w14:textId="77777777" w:rsidR="00002E2D" w:rsidRPr="00DC71B0" w:rsidRDefault="00002E2D" w:rsidP="00624285">
      <w:pPr>
        <w:pStyle w:val="APDCodeList"/>
        <w:rPr>
          <w:rFonts w:asciiTheme="majorHAnsi" w:hAnsiTheme="majorHAnsi" w:cstheme="majorHAnsi"/>
        </w:rPr>
      </w:pPr>
      <w:r w:rsidRPr="00DC71B0">
        <w:rPr>
          <w:rFonts w:asciiTheme="majorHAnsi" w:hAnsiTheme="majorHAnsi" w:cstheme="majorHAnsi"/>
        </w:rPr>
        <w:t>75ARCCEMS</w:t>
      </w:r>
      <w:r w:rsidRPr="00DC71B0">
        <w:rPr>
          <w:rFonts w:asciiTheme="majorHAnsi" w:hAnsiTheme="majorHAnsi" w:cstheme="majorHAnsi"/>
        </w:rPr>
        <w:tab/>
        <w:t>Continuous emissions monitoring system, used to comply with Title 40 Code of Federal Regulations Part 75 (40 CFR Part 75) (pertaining to Acid Rain)</w:t>
      </w:r>
    </w:p>
    <w:p w14:paraId="59F9A2C5" w14:textId="77777777" w:rsidR="00002E2D" w:rsidRPr="00DC71B0" w:rsidRDefault="00002E2D" w:rsidP="00624285">
      <w:pPr>
        <w:pStyle w:val="APDCodeList"/>
        <w:rPr>
          <w:rFonts w:asciiTheme="majorHAnsi" w:hAnsiTheme="majorHAnsi" w:cstheme="majorHAnsi"/>
        </w:rPr>
      </w:pPr>
      <w:r w:rsidRPr="00DC71B0">
        <w:rPr>
          <w:rFonts w:asciiTheme="majorHAnsi" w:hAnsiTheme="majorHAnsi" w:cstheme="majorHAnsi"/>
        </w:rPr>
        <w:t>75ARPPEMS</w:t>
      </w:r>
      <w:r w:rsidRPr="00DC71B0">
        <w:rPr>
          <w:rFonts w:asciiTheme="majorHAnsi" w:hAnsiTheme="majorHAnsi" w:cstheme="majorHAnsi"/>
        </w:rPr>
        <w:tab/>
        <w:t>Predictive emissions monitoring system, used to comply with 40 CFR Part 75 (pertaining to Acid</w:t>
      </w:r>
      <w:r w:rsidR="00624285">
        <w:rPr>
          <w:rFonts w:asciiTheme="majorHAnsi" w:hAnsiTheme="majorHAnsi" w:cstheme="majorHAnsi"/>
        </w:rPr>
        <w:t> </w:t>
      </w:r>
      <w:r w:rsidRPr="00DC71B0">
        <w:rPr>
          <w:rFonts w:asciiTheme="majorHAnsi" w:hAnsiTheme="majorHAnsi" w:cstheme="majorHAnsi"/>
        </w:rPr>
        <w:t>Rain)</w:t>
      </w:r>
    </w:p>
    <w:p w14:paraId="58E64E9C" w14:textId="77777777" w:rsidR="00002E2D" w:rsidRPr="00DC71B0" w:rsidRDefault="00002E2D" w:rsidP="00002E2D">
      <w:pPr>
        <w:pStyle w:val="APDBody"/>
        <w:pBdr>
          <w:bottom w:val="double" w:sz="6" w:space="1" w:color="auto"/>
        </w:pBdr>
        <w:rPr>
          <w:rFonts w:asciiTheme="majorHAnsi" w:hAnsiTheme="majorHAnsi" w:cstheme="majorHAnsi"/>
        </w:rPr>
      </w:pPr>
    </w:p>
    <w:bookmarkStart w:id="8" w:name="Table1c"/>
    <w:p w14:paraId="166297DB" w14:textId="558E1997" w:rsidR="00002E2D" w:rsidRPr="00DC71B0" w:rsidRDefault="008D04A9" w:rsidP="000E4846">
      <w:pPr>
        <w:pStyle w:val="APDTable1stSpecific"/>
        <w:rPr>
          <w:rFonts w:asciiTheme="majorHAnsi" w:hAnsiTheme="majorHAnsi" w:cstheme="majorHAnsi"/>
        </w:rPr>
      </w:pPr>
      <w:r w:rsidRPr="00273CFE">
        <w:rPr>
          <w:rStyle w:val="Hyperlink"/>
        </w:rPr>
        <w:fldChar w:fldCharType="begin"/>
      </w:r>
      <w:r w:rsidR="00F06D9A">
        <w:rPr>
          <w:rStyle w:val="Hyperlink"/>
        </w:rPr>
        <w:instrText>HYPERLINK  \l "TBL1c" \o "Table 1c"</w:instrText>
      </w:r>
      <w:r w:rsidRPr="00273CFE">
        <w:rPr>
          <w:rStyle w:val="Hyperlink"/>
        </w:rPr>
      </w:r>
      <w:r w:rsidRPr="00273CFE">
        <w:rPr>
          <w:rStyle w:val="Hyperlink"/>
        </w:rPr>
        <w:fldChar w:fldCharType="separate"/>
      </w:r>
      <w:r w:rsidR="00002E2D" w:rsidRPr="0036344A">
        <w:rPr>
          <w:rStyle w:val="Hyperlink"/>
        </w:rPr>
        <w:t>Table 1c</w:t>
      </w:r>
      <w:bookmarkEnd w:id="8"/>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Process Heaters</w:t>
      </w:r>
    </w:p>
    <w:p w14:paraId="5F687696"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459A4404" w14:textId="1AB408E3" w:rsidR="00002E2D" w:rsidRPr="00DC71B0" w:rsidRDefault="00002E2D" w:rsidP="00931B29">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w:t>
      </w:r>
      <w:r w:rsidR="00FC1BF9">
        <w:rPr>
          <w:rFonts w:asciiTheme="majorHAnsi" w:hAnsiTheme="majorHAnsi" w:cstheme="majorHAnsi"/>
        </w:rPr>
        <w:t> </w:t>
      </w:r>
      <w:r w:rsidRPr="00DC71B0">
        <w:rPr>
          <w:rFonts w:asciiTheme="majorHAnsi" w:hAnsiTheme="majorHAnsi" w:cstheme="majorHAnsi"/>
        </w:rPr>
        <w:t>Unit Summary).</w:t>
      </w:r>
    </w:p>
    <w:p w14:paraId="4A301A08"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SOP</w:t>
      </w:r>
      <w:r w:rsidR="00756ACE">
        <w:rPr>
          <w:rFonts w:asciiTheme="majorHAnsi" w:hAnsiTheme="majorHAnsi" w:cstheme="majorHAnsi"/>
        </w:rPr>
        <w:t>/GOP</w:t>
      </w:r>
      <w:r w:rsidRPr="00DC71B0">
        <w:rPr>
          <w:rFonts w:asciiTheme="majorHAnsi" w:hAnsiTheme="majorHAnsi" w:cstheme="majorHAnsi"/>
        </w:rPr>
        <w:t xml:space="preserve"> Index No.:</w:t>
      </w:r>
    </w:p>
    <w:p w14:paraId="326370CF" w14:textId="4962F7F6" w:rsidR="00494BE2" w:rsidRPr="006707C0" w:rsidRDefault="00002E2D" w:rsidP="00931B29">
      <w:pPr>
        <w:pStyle w:val="APDBody"/>
        <w:tabs>
          <w:tab w:val="left" w:pos="0"/>
        </w:tabs>
        <w:rPr>
          <w:rStyle w:val="Hyperlink"/>
          <w:color w:val="auto"/>
          <w:u w:val="none"/>
        </w:rPr>
      </w:pPr>
      <w:bookmarkStart w:id="9" w:name="_Hlk10122218"/>
      <w:r w:rsidRPr="00DC71B0">
        <w:rPr>
          <w:rFonts w:asciiTheme="majorHAnsi" w:hAnsiTheme="majorHAnsi" w:cstheme="majorHAnsi"/>
        </w:rPr>
        <w:t>Site operating permit (SOP) applicants should indicate the SOP index number for the unit or group of units (maximum</w:t>
      </w:r>
      <w:r w:rsidR="00FC1BF9">
        <w:rPr>
          <w:rFonts w:asciiTheme="majorHAnsi" w:hAnsiTheme="majorHAnsi" w:cstheme="majorHAnsi"/>
        </w:rPr>
        <w:t> </w:t>
      </w:r>
      <w:r w:rsidRPr="00DC71B0">
        <w:rPr>
          <w:rFonts w:asciiTheme="majorHAnsi" w:hAnsiTheme="majorHAnsi" w:cstheme="majorHAnsi"/>
        </w:rPr>
        <w:t>15</w:t>
      </w:r>
      <w:r w:rsidR="00FC1BF9">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bookmarkEnd w:id="9"/>
      <w:r w:rsidR="00756ACE" w:rsidRPr="00DC71B0">
        <w:rPr>
          <w:rFonts w:asciiTheme="majorHAnsi" w:hAnsiTheme="majorHAnsi" w:cstheme="majorHAnsi"/>
        </w:rPr>
        <w:t>General operating permit (GOP) applicants should indicate the appropriate GOP index number in this column from the applicable GOP table (SSS-FF-XXX). Applicants should</w:t>
      </w:r>
      <w:r w:rsidR="00756ACE">
        <w:rPr>
          <w:rFonts w:asciiTheme="majorHAnsi" w:hAnsiTheme="majorHAnsi" w:cstheme="majorHAnsi"/>
        </w:rPr>
        <w:t xml:space="preserve"> c</w:t>
      </w:r>
      <w:r w:rsidR="00756ACE" w:rsidRPr="00DC71B0">
        <w:rPr>
          <w:rFonts w:asciiTheme="majorHAnsi" w:hAnsiTheme="majorHAnsi" w:cstheme="majorHAnsi"/>
        </w:rPr>
        <w:t>omplete all applicable GOP attribute information before determining the GOP index number.</w:t>
      </w:r>
      <w:r w:rsidR="00123291" w:rsidRPr="00123291">
        <w:rPr>
          <w:rFonts w:asciiTheme="majorHAnsi" w:hAnsiTheme="majorHAnsi" w:cstheme="majorHAnsi"/>
        </w:rPr>
        <w:t xml:space="preserve"> </w:t>
      </w:r>
      <w:r w:rsidR="00123291" w:rsidRPr="00DE6438">
        <w:rPr>
          <w:rFonts w:asciiTheme="majorHAnsi" w:hAnsiTheme="majorHAnsi" w:cstheme="majorHAnsi"/>
        </w:rPr>
        <w:t xml:space="preserve">For additional information relating to </w:t>
      </w:r>
      <w:r w:rsidR="00123291" w:rsidRPr="00712AEC">
        <w:rPr>
          <w:rFonts w:asciiTheme="majorHAnsi" w:hAnsiTheme="majorHAnsi" w:cstheme="majorHAnsi"/>
        </w:rPr>
        <w:t xml:space="preserve">SOP and GOP index numbers, please see the Completing FOP Applications – Additional Guidance on the TCEQ website at </w:t>
      </w:r>
      <w:hyperlink r:id="rId13" w:tooltip="TCEQ - Completing FOP Applications - Additional Guidance" w:history="1">
        <w:r w:rsidR="00123291" w:rsidRPr="009D4860">
          <w:rPr>
            <w:rStyle w:val="Hyperlink"/>
          </w:rPr>
          <w:t>www.tceq.texas.gov/permitting/air/guidance/titlev/tv_fop_guidance.html</w:t>
        </w:r>
      </w:hyperlink>
      <w:r w:rsidR="00123291" w:rsidRPr="006707C0">
        <w:rPr>
          <w:rStyle w:val="Hyperlink"/>
          <w:color w:val="auto"/>
          <w:u w:val="none"/>
        </w:rPr>
        <w:t>.</w:t>
      </w:r>
    </w:p>
    <w:p w14:paraId="0EC9BE32" w14:textId="3441AAFC" w:rsidR="00002E2D" w:rsidRPr="00273CFE" w:rsidRDefault="00494BE2" w:rsidP="00273CFE">
      <w:pPr>
        <w:rPr>
          <w:rFonts w:asciiTheme="majorHAnsi" w:hAnsiTheme="majorHAnsi" w:cstheme="majorHAnsi"/>
          <w:color w:val="0000FF"/>
          <w:u w:val="single"/>
        </w:rPr>
      </w:pPr>
      <w:r>
        <w:rPr>
          <w:rStyle w:val="Hyperlink"/>
        </w:rPr>
        <w:br w:type="page"/>
      </w:r>
    </w:p>
    <w:p w14:paraId="2BEB8F1D"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lastRenderedPageBreak/>
        <w:t>Fuel Flow Monitoring:</w:t>
      </w:r>
    </w:p>
    <w:p w14:paraId="06DE242E" w14:textId="77777777" w:rsidR="00002E2D" w:rsidRPr="00DC71B0" w:rsidRDefault="00002E2D" w:rsidP="00931B29">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to indicate how fuel flow is monitored. Enter the code on the form.</w:t>
      </w:r>
    </w:p>
    <w:p w14:paraId="131EA79E" w14:textId="77777777" w:rsidR="000E4846" w:rsidRPr="00DC71B0" w:rsidRDefault="000E4846" w:rsidP="000D67E0">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1A112700"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X40A</w:t>
      </w:r>
      <w:r w:rsidRPr="00DC71B0">
        <w:rPr>
          <w:rFonts w:asciiTheme="majorHAnsi" w:hAnsiTheme="majorHAnsi" w:cstheme="majorHAnsi"/>
        </w:rPr>
        <w:tab/>
        <w:t>Fuel flow is with a totalizing fuel flow meter per 30 TAC §§ 117.140(a), 117.340(a) or 117.440(a)</w:t>
      </w:r>
    </w:p>
    <w:p w14:paraId="1F11F33C"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X40A2-A</w:t>
      </w:r>
      <w:r w:rsidRPr="00DC71B0">
        <w:rPr>
          <w:rFonts w:asciiTheme="majorHAnsi" w:hAnsiTheme="majorHAnsi" w:cstheme="majorHAnsi"/>
        </w:rPr>
        <w:tab/>
        <w:t xml:space="preserve">Unit operates with a NOx and diluent CEMS and monitors stack exhaust flow per </w:t>
      </w:r>
    </w:p>
    <w:p w14:paraId="0EACFC2C" w14:textId="77777777" w:rsidR="00002E2D" w:rsidRPr="00DC71B0" w:rsidRDefault="00615652" w:rsidP="000D67E0">
      <w:pPr>
        <w:pStyle w:val="APDCodeList"/>
        <w:rPr>
          <w:rFonts w:asciiTheme="majorHAnsi" w:hAnsiTheme="majorHAnsi" w:cstheme="majorHAnsi"/>
        </w:rPr>
      </w:pPr>
      <w:r>
        <w:rPr>
          <w:rFonts w:asciiTheme="majorHAnsi" w:hAnsiTheme="majorHAnsi" w:cstheme="majorHAnsi"/>
        </w:rPr>
        <w:tab/>
      </w:r>
      <w:r w:rsidR="00002E2D" w:rsidRPr="00DC71B0">
        <w:rPr>
          <w:rFonts w:asciiTheme="majorHAnsi" w:hAnsiTheme="majorHAnsi" w:cstheme="majorHAnsi"/>
        </w:rPr>
        <w:t>30 TAC §§ 117.140(a)(2)(A), 117.340(a)(2)(A) or 117.440(a)(2)(A)</w:t>
      </w:r>
    </w:p>
    <w:p w14:paraId="1D52E061" w14:textId="207444AC"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X40A2-B</w:t>
      </w:r>
      <w:r w:rsidRPr="00DC71B0">
        <w:rPr>
          <w:rFonts w:asciiTheme="majorHAnsi" w:hAnsiTheme="majorHAnsi" w:cstheme="majorHAnsi"/>
        </w:rPr>
        <w:tab/>
        <w:t>Unit vents to a common stack with a NOx and diluent CEMS and uses a single totalizing fuel flow meter per 30 TAC §§ 117.140(a)(2)(B), 117.340(a)(2)(B) or 117.440(a)(2)(B)</w:t>
      </w:r>
    </w:p>
    <w:p w14:paraId="56B70F83" w14:textId="40872F86" w:rsidR="006C00B3" w:rsidRPr="00494BE2" w:rsidRDefault="00002E2D" w:rsidP="00F06D9A">
      <w:pPr>
        <w:pStyle w:val="APDCompleteStarStyle"/>
      </w:pPr>
      <w:r w:rsidRPr="00DC71B0">
        <w:t>Do not</w:t>
      </w:r>
      <w:r w:rsidR="00615652">
        <w:t xml:space="preserve"> c</w:t>
      </w:r>
      <w:r w:rsidR="00416FC5" w:rsidRPr="00DC71B0">
        <w:t xml:space="preserve">omplete </w:t>
      </w:r>
      <w:r w:rsidRPr="00DC71B0">
        <w:t>“CO Emission Limitation” or “CO Monitoring System” if “Unit Type” is “BIF” and “NOx Emission Limitation” is “310D.”</w:t>
      </w:r>
    </w:p>
    <w:p w14:paraId="47DAE909"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CO Emission Limitation:</w:t>
      </w:r>
    </w:p>
    <w:p w14:paraId="342ACCF2" w14:textId="77777777" w:rsidR="00002E2D" w:rsidRPr="00DC71B0" w:rsidRDefault="00002E2D" w:rsidP="00931B29">
      <w:pPr>
        <w:pStyle w:val="APDBody"/>
        <w:tabs>
          <w:tab w:val="left" w:pos="0"/>
        </w:tabs>
        <w:rPr>
          <w:rFonts w:asciiTheme="majorHAnsi" w:hAnsiTheme="majorHAnsi" w:cstheme="majorHAnsi"/>
        </w:rPr>
      </w:pPr>
      <w:r w:rsidRPr="00DC71B0">
        <w:rPr>
          <w:rFonts w:asciiTheme="majorHAnsi" w:hAnsiTheme="majorHAnsi" w:cstheme="majorHAnsi"/>
        </w:rPr>
        <w:t xml:space="preserve">Title 30 TAC Chapter 117 provides several methods to </w:t>
      </w:r>
      <w:proofErr w:type="gramStart"/>
      <w:r w:rsidRPr="00DC71B0">
        <w:rPr>
          <w:rFonts w:asciiTheme="majorHAnsi" w:hAnsiTheme="majorHAnsi" w:cstheme="majorHAnsi"/>
        </w:rPr>
        <w:t>be in compliance with</w:t>
      </w:r>
      <w:proofErr w:type="gramEnd"/>
      <w:r w:rsidRPr="00DC71B0">
        <w:rPr>
          <w:rFonts w:asciiTheme="majorHAnsi" w:hAnsiTheme="majorHAnsi" w:cstheme="majorHAnsi"/>
        </w:rPr>
        <w:t xml:space="preserve"> the applicable CO emission specifications of 30 TAC Chapter 117. Select one of the following options. Enter the code on the form.</w:t>
      </w:r>
    </w:p>
    <w:p w14:paraId="69052F1C" w14:textId="77777777" w:rsidR="00002E2D" w:rsidRPr="00DC71B0" w:rsidRDefault="00002E2D" w:rsidP="00931B29">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process heaters located in the Beaumont/Port Arthur ozone nonattainment area:</w:t>
      </w:r>
    </w:p>
    <w:p w14:paraId="06ED4527" w14:textId="77777777" w:rsidR="000E4846" w:rsidRPr="00DC71B0" w:rsidRDefault="000E4846" w:rsidP="000E4846">
      <w:pPr>
        <w:pStyle w:val="APDCodeDescriptionBOLD"/>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782A5EF"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105F</w:t>
      </w:r>
      <w:r w:rsidRPr="00DC71B0">
        <w:rPr>
          <w:rFonts w:asciiTheme="majorHAnsi" w:hAnsiTheme="majorHAnsi" w:cstheme="majorHAnsi"/>
        </w:rPr>
        <w:tab/>
        <w:t>Title 30 TAC § 117.105(f) [relating to Emission Specifications for Reasonably Available Control Technology] (use for units subject to RACT in the Beaumont/Port Arthur ozone nonattainment</w:t>
      </w:r>
      <w:r w:rsidR="000D67E0">
        <w:rPr>
          <w:rFonts w:asciiTheme="majorHAnsi" w:hAnsiTheme="majorHAnsi" w:cstheme="majorHAnsi"/>
        </w:rPr>
        <w:t> </w:t>
      </w:r>
      <w:r w:rsidRPr="00DC71B0">
        <w:rPr>
          <w:rFonts w:asciiTheme="majorHAnsi" w:hAnsiTheme="majorHAnsi" w:cstheme="majorHAnsi"/>
        </w:rPr>
        <w:t>area)</w:t>
      </w:r>
    </w:p>
    <w:p w14:paraId="4A24A794"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110C</w:t>
      </w:r>
      <w:r w:rsidRPr="00DC71B0">
        <w:rPr>
          <w:rFonts w:asciiTheme="majorHAnsi" w:hAnsiTheme="majorHAnsi" w:cstheme="majorHAnsi"/>
        </w:rPr>
        <w:tab/>
        <w:t>Title 30 TAC § 117.110(c)(1) [relating to Emission Specifications for Attainment Demonstration] (use for units subject to ESAD requirements in the Beaumont/Port Arthur ozone nonattainment</w:t>
      </w:r>
      <w:r w:rsidR="000D67E0">
        <w:rPr>
          <w:rFonts w:asciiTheme="majorHAnsi" w:hAnsiTheme="majorHAnsi" w:cstheme="majorHAnsi"/>
        </w:rPr>
        <w:t> </w:t>
      </w:r>
      <w:r w:rsidRPr="00DC71B0">
        <w:rPr>
          <w:rFonts w:asciiTheme="majorHAnsi" w:hAnsiTheme="majorHAnsi" w:cstheme="majorHAnsi"/>
        </w:rPr>
        <w:t>area)</w:t>
      </w:r>
    </w:p>
    <w:p w14:paraId="7B3DA5DD" w14:textId="77777777" w:rsidR="00D37DEA" w:rsidRDefault="00002E2D" w:rsidP="000D67E0">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 30 TAC §</w:t>
      </w:r>
      <w:r w:rsidR="000D67E0">
        <w:rPr>
          <w:rFonts w:asciiTheme="majorHAnsi" w:hAnsiTheme="majorHAnsi" w:cstheme="majorHAnsi"/>
        </w:rPr>
        <w:t> </w:t>
      </w:r>
      <w:r w:rsidRPr="00DC71B0">
        <w:rPr>
          <w:rFonts w:asciiTheme="majorHAnsi" w:hAnsiTheme="majorHAnsi" w:cstheme="majorHAnsi"/>
        </w:rPr>
        <w:t>117.125(a)</w:t>
      </w:r>
    </w:p>
    <w:p w14:paraId="07110BF8" w14:textId="77777777" w:rsidR="00002E2D" w:rsidRPr="00DC71B0" w:rsidRDefault="00002E2D" w:rsidP="00931B29">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PRHTR or PYRO or BIF units located in the Houston/Galveston/Brazoria ozone nonattainment area: </w:t>
      </w:r>
    </w:p>
    <w:p w14:paraId="3404E629" w14:textId="77777777" w:rsidR="00002E2D" w:rsidRPr="00DC71B0" w:rsidRDefault="00002E2D" w:rsidP="000D67E0">
      <w:pPr>
        <w:pStyle w:val="APDCodeList"/>
        <w:rPr>
          <w:rFonts w:asciiTheme="majorHAnsi" w:hAnsiTheme="majorHAnsi" w:cstheme="majorHAnsi"/>
          <w:b/>
        </w:rPr>
      </w:pPr>
      <w:r w:rsidRPr="00DC71B0">
        <w:rPr>
          <w:rFonts w:asciiTheme="majorHAnsi" w:hAnsiTheme="majorHAnsi" w:cstheme="majorHAnsi"/>
          <w:b/>
        </w:rPr>
        <w:t>Code</w:t>
      </w:r>
      <w:r w:rsidRPr="00DC71B0">
        <w:rPr>
          <w:rFonts w:asciiTheme="majorHAnsi" w:hAnsiTheme="majorHAnsi" w:cstheme="majorHAnsi"/>
          <w:b/>
        </w:rPr>
        <w:tab/>
        <w:t>Description</w:t>
      </w:r>
    </w:p>
    <w:p w14:paraId="3AFE8E28"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310C</w:t>
      </w:r>
      <w:r w:rsidRPr="00DC71B0">
        <w:rPr>
          <w:rFonts w:asciiTheme="majorHAnsi" w:hAnsiTheme="majorHAnsi" w:cstheme="majorHAnsi"/>
        </w:rPr>
        <w:tab/>
        <w:t xml:space="preserve">Title 30 TAC § 117.310(c)(1) 400 </w:t>
      </w:r>
      <w:proofErr w:type="spellStart"/>
      <w:r w:rsidRPr="00DC71B0">
        <w:rPr>
          <w:rFonts w:asciiTheme="majorHAnsi" w:hAnsiTheme="majorHAnsi" w:cstheme="majorHAnsi"/>
        </w:rPr>
        <w:t>ppmv</w:t>
      </w:r>
      <w:proofErr w:type="spellEnd"/>
      <w:r w:rsidRPr="00DC71B0">
        <w:rPr>
          <w:rFonts w:asciiTheme="majorHAnsi" w:hAnsiTheme="majorHAnsi" w:cstheme="majorHAnsi"/>
        </w:rPr>
        <w:t xml:space="preserve"> option</w:t>
      </w:r>
    </w:p>
    <w:p w14:paraId="52A07783"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310CPPMV</w:t>
      </w:r>
      <w:r w:rsidRPr="00DC71B0">
        <w:rPr>
          <w:rFonts w:asciiTheme="majorHAnsi" w:hAnsiTheme="majorHAnsi" w:cstheme="majorHAnsi"/>
        </w:rPr>
        <w:tab/>
        <w:t xml:space="preserve">Title 30 TAC § 117.310(c)(1) 775 </w:t>
      </w:r>
      <w:proofErr w:type="spellStart"/>
      <w:r w:rsidRPr="00DC71B0">
        <w:rPr>
          <w:rFonts w:asciiTheme="majorHAnsi" w:hAnsiTheme="majorHAnsi" w:cstheme="majorHAnsi"/>
        </w:rPr>
        <w:t>ppmv</w:t>
      </w:r>
      <w:proofErr w:type="spellEnd"/>
      <w:r w:rsidRPr="00DC71B0">
        <w:rPr>
          <w:rFonts w:asciiTheme="majorHAnsi" w:hAnsiTheme="majorHAnsi" w:cstheme="majorHAnsi"/>
        </w:rPr>
        <w:t xml:space="preserve"> option for wood-fuel-fired process heaters</w:t>
      </w:r>
    </w:p>
    <w:p w14:paraId="7115B467" w14:textId="39A219C0"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 30 TAC §</w:t>
      </w:r>
      <w:r w:rsidR="00FC1BF9">
        <w:rPr>
          <w:rFonts w:asciiTheme="majorHAnsi" w:hAnsiTheme="majorHAnsi" w:cstheme="majorHAnsi"/>
        </w:rPr>
        <w:t> </w:t>
      </w:r>
      <w:r w:rsidRPr="00DC71B0">
        <w:rPr>
          <w:rFonts w:asciiTheme="majorHAnsi" w:hAnsiTheme="majorHAnsi" w:cstheme="majorHAnsi"/>
        </w:rPr>
        <w:t xml:space="preserve">117.325(a) </w:t>
      </w:r>
    </w:p>
    <w:p w14:paraId="68B6CF1F" w14:textId="77777777" w:rsidR="00002E2D" w:rsidRPr="00DC71B0" w:rsidRDefault="00002E2D" w:rsidP="00931B29">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process heaters located in the Dallas/Fort Worth Eight-Hour ozone nonattainment area: </w:t>
      </w:r>
    </w:p>
    <w:p w14:paraId="4834D445" w14:textId="77777777" w:rsidR="00002E2D" w:rsidRPr="00DC71B0" w:rsidRDefault="00002E2D" w:rsidP="000D67E0">
      <w:pPr>
        <w:pStyle w:val="APDCodeList"/>
        <w:rPr>
          <w:rFonts w:asciiTheme="majorHAnsi" w:hAnsiTheme="majorHAnsi" w:cstheme="majorHAnsi"/>
          <w:b/>
        </w:rPr>
      </w:pPr>
      <w:r w:rsidRPr="00DC71B0">
        <w:rPr>
          <w:rFonts w:asciiTheme="majorHAnsi" w:hAnsiTheme="majorHAnsi" w:cstheme="majorHAnsi"/>
          <w:b/>
        </w:rPr>
        <w:t>Code</w:t>
      </w:r>
      <w:r w:rsidRPr="00DC71B0">
        <w:rPr>
          <w:rFonts w:asciiTheme="majorHAnsi" w:hAnsiTheme="majorHAnsi" w:cstheme="majorHAnsi"/>
          <w:b/>
        </w:rPr>
        <w:tab/>
        <w:t>Description</w:t>
      </w:r>
    </w:p>
    <w:p w14:paraId="2DC02625"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410C</w:t>
      </w:r>
      <w:r w:rsidRPr="00DC71B0">
        <w:rPr>
          <w:rFonts w:asciiTheme="majorHAnsi" w:hAnsiTheme="majorHAnsi" w:cstheme="majorHAnsi"/>
        </w:rPr>
        <w:tab/>
        <w:t>Title 30 TAC § 117.410(c)(1) [relating to Emission Specifications for Attainment Demonstration] (use for units subject to ESAD requirements in the Dallas/Fort Worth Eight-Hour ozone nonattainment area)</w:t>
      </w:r>
    </w:p>
    <w:p w14:paraId="3F84336E"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405D</w:t>
      </w:r>
      <w:r w:rsidRPr="00DC71B0">
        <w:rPr>
          <w:rFonts w:asciiTheme="majorHAnsi" w:hAnsiTheme="majorHAnsi" w:cstheme="majorHAnsi"/>
        </w:rPr>
        <w:tab/>
        <w:t>Title 30 TAC § 117.405(d)(1) (use for units subject to Reasonably Available Control Technology (RACT) requirements in Wise County in the Dallas/Fort Worth Eight-Hour ozone nonattainment area)</w:t>
      </w:r>
    </w:p>
    <w:p w14:paraId="4DB5E292" w14:textId="04B86290"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 30 TAC §</w:t>
      </w:r>
      <w:r w:rsidR="00FC1BF9">
        <w:rPr>
          <w:rFonts w:asciiTheme="majorHAnsi" w:hAnsiTheme="majorHAnsi" w:cstheme="majorHAnsi"/>
        </w:rPr>
        <w:t> </w:t>
      </w:r>
      <w:r w:rsidRPr="00DC71B0">
        <w:rPr>
          <w:rFonts w:asciiTheme="majorHAnsi" w:hAnsiTheme="majorHAnsi" w:cstheme="majorHAnsi"/>
        </w:rPr>
        <w:t>117.425(a)</w:t>
      </w:r>
    </w:p>
    <w:p w14:paraId="55C1CC2F" w14:textId="77777777" w:rsidR="00002E2D" w:rsidRPr="00DC71B0" w:rsidRDefault="00002E2D" w:rsidP="00931B29">
      <w:pPr>
        <w:pStyle w:val="APDBodyBOLDheader"/>
        <w:tabs>
          <w:tab w:val="left" w:pos="0"/>
        </w:tabs>
        <w:rPr>
          <w:rFonts w:asciiTheme="majorHAnsi" w:hAnsiTheme="majorHAnsi" w:cstheme="majorHAnsi"/>
        </w:rPr>
      </w:pPr>
      <w:r w:rsidRPr="00DC71B0">
        <w:rPr>
          <w:rFonts w:asciiTheme="majorHAnsi" w:hAnsiTheme="majorHAnsi" w:cstheme="majorHAnsi"/>
        </w:rPr>
        <w:t>CO Monitoring System:</w:t>
      </w:r>
    </w:p>
    <w:p w14:paraId="06C31C6A" w14:textId="77777777" w:rsidR="00002E2D" w:rsidRPr="00DC71B0" w:rsidRDefault="00002E2D" w:rsidP="00931B29">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to indicate how the unit is monitored for CO exhaust emissions. Enter the code on the form.</w:t>
      </w:r>
    </w:p>
    <w:p w14:paraId="0625D339" w14:textId="77777777" w:rsidR="000E4846" w:rsidRPr="00DC71B0" w:rsidRDefault="000E4846" w:rsidP="000D67E0">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424D479"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CEMS</w:t>
      </w:r>
      <w:r w:rsidRPr="00DC71B0">
        <w:rPr>
          <w:rFonts w:asciiTheme="majorHAnsi" w:hAnsiTheme="majorHAnsi" w:cstheme="majorHAnsi"/>
        </w:rPr>
        <w:tab/>
        <w:t>Continuous emissions monitoring system</w:t>
      </w:r>
    </w:p>
    <w:p w14:paraId="43F80A96"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PEMS</w:t>
      </w:r>
      <w:r w:rsidRPr="00DC71B0">
        <w:rPr>
          <w:rFonts w:asciiTheme="majorHAnsi" w:hAnsiTheme="majorHAnsi" w:cstheme="majorHAnsi"/>
        </w:rPr>
        <w:tab/>
        <w:t>Predictive emissions monitoring system</w:t>
      </w:r>
    </w:p>
    <w:p w14:paraId="1DBAF43C"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r>
      <w:proofErr w:type="spellStart"/>
      <w:r w:rsidRPr="00DC71B0">
        <w:rPr>
          <w:rFonts w:asciiTheme="majorHAnsi" w:hAnsiTheme="majorHAnsi" w:cstheme="majorHAnsi"/>
        </w:rPr>
        <w:t>Other</w:t>
      </w:r>
      <w:proofErr w:type="spellEnd"/>
      <w:r w:rsidRPr="00DC71B0">
        <w:rPr>
          <w:rFonts w:asciiTheme="majorHAnsi" w:hAnsiTheme="majorHAnsi" w:cstheme="majorHAnsi"/>
        </w:rPr>
        <w:t xml:space="preserve"> than CEMS or PEMS</w:t>
      </w:r>
    </w:p>
    <w:p w14:paraId="183421AD" w14:textId="62843A03" w:rsidR="006C00B3" w:rsidRPr="00494BE2" w:rsidRDefault="00002E2D" w:rsidP="00273CFE">
      <w:pPr>
        <w:pStyle w:val="APDCompleteStarStyle"/>
      </w:pPr>
      <w:r w:rsidRPr="00DC71B0">
        <w:lastRenderedPageBreak/>
        <w:t>Complete “NH3 Emission Limitation” only if “NOx Reduction” is “POST1.”</w:t>
      </w:r>
    </w:p>
    <w:p w14:paraId="22FCAD96" w14:textId="77777777" w:rsidR="00002E2D" w:rsidRPr="00DC71B0" w:rsidRDefault="00002E2D" w:rsidP="00BA7250">
      <w:pPr>
        <w:pStyle w:val="APDBodyBOLDheader"/>
        <w:tabs>
          <w:tab w:val="left" w:pos="0"/>
        </w:tabs>
        <w:rPr>
          <w:rFonts w:asciiTheme="majorHAnsi" w:hAnsiTheme="majorHAnsi" w:cstheme="majorHAnsi"/>
        </w:rPr>
      </w:pPr>
      <w:r w:rsidRPr="00DC71B0">
        <w:rPr>
          <w:rFonts w:asciiTheme="majorHAnsi" w:hAnsiTheme="majorHAnsi" w:cstheme="majorHAnsi"/>
        </w:rPr>
        <w:t>NH3 Emission Limitation:</w:t>
      </w:r>
    </w:p>
    <w:p w14:paraId="529C0EC2" w14:textId="77777777" w:rsidR="00002E2D" w:rsidRPr="00DC71B0" w:rsidRDefault="00002E2D" w:rsidP="00BA7250">
      <w:pPr>
        <w:pStyle w:val="APDBody"/>
        <w:tabs>
          <w:tab w:val="left" w:pos="0"/>
        </w:tabs>
        <w:rPr>
          <w:rFonts w:asciiTheme="majorHAnsi" w:hAnsiTheme="majorHAnsi" w:cstheme="majorHAnsi"/>
        </w:rPr>
      </w:pPr>
      <w:r w:rsidRPr="00DC71B0">
        <w:rPr>
          <w:rFonts w:asciiTheme="majorHAnsi" w:hAnsiTheme="majorHAnsi" w:cstheme="majorHAnsi"/>
        </w:rPr>
        <w:t xml:space="preserve">Title 30 TAC Chapter 117 provides several methods to </w:t>
      </w:r>
      <w:proofErr w:type="gramStart"/>
      <w:r w:rsidRPr="00DC71B0">
        <w:rPr>
          <w:rFonts w:asciiTheme="majorHAnsi" w:hAnsiTheme="majorHAnsi" w:cstheme="majorHAnsi"/>
        </w:rPr>
        <w:t>be in compliance with</w:t>
      </w:r>
      <w:proofErr w:type="gramEnd"/>
      <w:r w:rsidRPr="00DC71B0">
        <w:rPr>
          <w:rFonts w:asciiTheme="majorHAnsi" w:hAnsiTheme="majorHAnsi" w:cstheme="majorHAnsi"/>
        </w:rPr>
        <w:t xml:space="preserve"> the applicable NH3 emission specifications of 30 TAC Chapter 117. Select one of the following options. Enter the code on the form.</w:t>
      </w:r>
    </w:p>
    <w:p w14:paraId="47EF1C51" w14:textId="77777777" w:rsidR="00002E2D" w:rsidRPr="00DC71B0" w:rsidRDefault="00002E2D" w:rsidP="00BA725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process heaters located in the Beaumont/Port Arthur ozone nonattainment area: </w:t>
      </w:r>
    </w:p>
    <w:p w14:paraId="3B1E2239" w14:textId="77777777" w:rsidR="00002E2D" w:rsidRPr="00DC71B0" w:rsidRDefault="00002E2D" w:rsidP="000D67E0">
      <w:pPr>
        <w:pStyle w:val="APDCodeList"/>
        <w:rPr>
          <w:rFonts w:asciiTheme="majorHAnsi" w:hAnsiTheme="majorHAnsi" w:cstheme="majorHAnsi"/>
          <w:b/>
        </w:rPr>
      </w:pPr>
      <w:r w:rsidRPr="00DC71B0">
        <w:rPr>
          <w:rFonts w:asciiTheme="majorHAnsi" w:hAnsiTheme="majorHAnsi" w:cstheme="majorHAnsi"/>
          <w:b/>
        </w:rPr>
        <w:t>Code</w:t>
      </w:r>
      <w:r w:rsidRPr="00DC71B0">
        <w:rPr>
          <w:rFonts w:asciiTheme="majorHAnsi" w:hAnsiTheme="majorHAnsi" w:cstheme="majorHAnsi"/>
          <w:b/>
        </w:rPr>
        <w:tab/>
        <w:t>Description</w:t>
      </w:r>
    </w:p>
    <w:p w14:paraId="0E13B389"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105G</w:t>
      </w:r>
      <w:r w:rsidRPr="00DC71B0">
        <w:rPr>
          <w:rFonts w:asciiTheme="majorHAnsi" w:hAnsiTheme="majorHAnsi" w:cstheme="majorHAnsi"/>
        </w:rPr>
        <w:tab/>
        <w:t>Title 30 TAC § 117.105(g) [relating to Emission Specifications for Reasonably Available Control Technology]</w:t>
      </w:r>
    </w:p>
    <w:p w14:paraId="24DB458B"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110C</w:t>
      </w:r>
      <w:r w:rsidRPr="00DC71B0">
        <w:rPr>
          <w:rFonts w:asciiTheme="majorHAnsi" w:hAnsiTheme="majorHAnsi" w:cstheme="majorHAnsi"/>
        </w:rPr>
        <w:tab/>
        <w:t>Title 30 TAC § 117.110(c)(2) [relating to Emission Specifications for Attainment Demonstration]</w:t>
      </w:r>
    </w:p>
    <w:p w14:paraId="0B07B6DF" w14:textId="061E250A"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 30 TAC §</w:t>
      </w:r>
      <w:r w:rsidR="00FC1BF9">
        <w:rPr>
          <w:rFonts w:asciiTheme="majorHAnsi" w:hAnsiTheme="majorHAnsi" w:cstheme="majorHAnsi"/>
        </w:rPr>
        <w:t> </w:t>
      </w:r>
      <w:r w:rsidRPr="00DC71B0">
        <w:rPr>
          <w:rFonts w:asciiTheme="majorHAnsi" w:hAnsiTheme="majorHAnsi" w:cstheme="majorHAnsi"/>
        </w:rPr>
        <w:t xml:space="preserve">117.125(a) </w:t>
      </w:r>
    </w:p>
    <w:p w14:paraId="41FF4687" w14:textId="77777777" w:rsidR="00002E2D" w:rsidRPr="00DC71B0" w:rsidRDefault="00002E2D" w:rsidP="00BA725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PRHTR or PYRO or BIF units located in the Houston/Galveston/Brazoria ozone nonattainment area: </w:t>
      </w:r>
    </w:p>
    <w:p w14:paraId="794187C0" w14:textId="77777777" w:rsidR="00002E2D" w:rsidRPr="00DC71B0" w:rsidRDefault="00002E2D" w:rsidP="000D67E0">
      <w:pPr>
        <w:pStyle w:val="APDCodeList"/>
        <w:rPr>
          <w:rFonts w:asciiTheme="majorHAnsi" w:hAnsiTheme="majorHAnsi" w:cstheme="majorHAnsi"/>
          <w:b/>
        </w:rPr>
      </w:pPr>
      <w:r w:rsidRPr="00DC71B0">
        <w:rPr>
          <w:rFonts w:asciiTheme="majorHAnsi" w:hAnsiTheme="majorHAnsi" w:cstheme="majorHAnsi"/>
          <w:b/>
        </w:rPr>
        <w:t>Code</w:t>
      </w:r>
      <w:r w:rsidRPr="00DC71B0">
        <w:rPr>
          <w:rFonts w:asciiTheme="majorHAnsi" w:hAnsiTheme="majorHAnsi" w:cstheme="majorHAnsi"/>
          <w:b/>
        </w:rPr>
        <w:tab/>
        <w:t>Description</w:t>
      </w:r>
    </w:p>
    <w:p w14:paraId="6201C15E"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310C</w:t>
      </w:r>
      <w:r w:rsidRPr="00DC71B0">
        <w:rPr>
          <w:rFonts w:asciiTheme="majorHAnsi" w:hAnsiTheme="majorHAnsi" w:cstheme="majorHAnsi"/>
        </w:rPr>
        <w:tab/>
        <w:t>Title 30 TAC § 117.310(c)(2) [relating to Emission Specifications for Attainment Demonstration]</w:t>
      </w:r>
    </w:p>
    <w:p w14:paraId="78640D49" w14:textId="77777777" w:rsidR="00002E2D" w:rsidRPr="00DC71B0" w:rsidRDefault="00002E2D" w:rsidP="000D67E0">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w:t>
      </w:r>
      <w:r w:rsidR="0073332A">
        <w:rPr>
          <w:rFonts w:asciiTheme="majorHAnsi" w:hAnsiTheme="majorHAnsi" w:cstheme="majorHAnsi"/>
        </w:rPr>
        <w:t> </w:t>
      </w:r>
      <w:r w:rsidRPr="00DC71B0">
        <w:rPr>
          <w:rFonts w:asciiTheme="majorHAnsi" w:hAnsiTheme="majorHAnsi" w:cstheme="majorHAnsi"/>
        </w:rPr>
        <w:t>30</w:t>
      </w:r>
      <w:r w:rsidR="0073332A">
        <w:rPr>
          <w:rFonts w:asciiTheme="majorHAnsi" w:hAnsiTheme="majorHAnsi" w:cstheme="majorHAnsi"/>
        </w:rPr>
        <w:t> </w:t>
      </w:r>
      <w:r w:rsidRPr="00DC71B0">
        <w:rPr>
          <w:rFonts w:asciiTheme="majorHAnsi" w:hAnsiTheme="majorHAnsi" w:cstheme="majorHAnsi"/>
        </w:rPr>
        <w:t>TAC</w:t>
      </w:r>
      <w:r w:rsidR="000D67E0">
        <w:rPr>
          <w:rFonts w:asciiTheme="majorHAnsi" w:hAnsiTheme="majorHAnsi" w:cstheme="majorHAnsi"/>
        </w:rPr>
        <w:t> </w:t>
      </w:r>
      <w:r w:rsidRPr="00DC71B0">
        <w:rPr>
          <w:rFonts w:asciiTheme="majorHAnsi" w:hAnsiTheme="majorHAnsi" w:cstheme="majorHAnsi"/>
        </w:rPr>
        <w:t>§</w:t>
      </w:r>
      <w:r w:rsidR="000D67E0">
        <w:rPr>
          <w:rFonts w:asciiTheme="majorHAnsi" w:hAnsiTheme="majorHAnsi" w:cstheme="majorHAnsi"/>
        </w:rPr>
        <w:t> </w:t>
      </w:r>
      <w:r w:rsidRPr="00DC71B0">
        <w:rPr>
          <w:rFonts w:asciiTheme="majorHAnsi" w:hAnsiTheme="majorHAnsi" w:cstheme="majorHAnsi"/>
        </w:rPr>
        <w:t xml:space="preserve">117.325(a) </w:t>
      </w:r>
    </w:p>
    <w:p w14:paraId="315E9711" w14:textId="77777777" w:rsidR="00002E2D" w:rsidRPr="00DC71B0" w:rsidRDefault="00002E2D" w:rsidP="00BA725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 xml:space="preserve">For process heaters located in the Dallas/Fort Worth Eight-Hour ozone nonattainment area: </w:t>
      </w:r>
    </w:p>
    <w:p w14:paraId="14D6303C" w14:textId="77777777" w:rsidR="00002E2D" w:rsidRPr="00DC71B0" w:rsidRDefault="00002E2D" w:rsidP="0073332A">
      <w:pPr>
        <w:pStyle w:val="APDCodeList"/>
        <w:rPr>
          <w:rFonts w:asciiTheme="majorHAnsi" w:hAnsiTheme="majorHAnsi" w:cstheme="majorHAnsi"/>
          <w:b/>
        </w:rPr>
      </w:pPr>
      <w:r w:rsidRPr="00DC71B0">
        <w:rPr>
          <w:rFonts w:asciiTheme="majorHAnsi" w:hAnsiTheme="majorHAnsi" w:cstheme="majorHAnsi"/>
          <w:b/>
        </w:rPr>
        <w:t>Code</w:t>
      </w:r>
      <w:r w:rsidRPr="00DC71B0">
        <w:rPr>
          <w:rFonts w:asciiTheme="majorHAnsi" w:hAnsiTheme="majorHAnsi" w:cstheme="majorHAnsi"/>
          <w:b/>
        </w:rPr>
        <w:tab/>
        <w:t>Description</w:t>
      </w:r>
    </w:p>
    <w:p w14:paraId="78052517" w14:textId="77777777" w:rsidR="00002E2D" w:rsidRPr="00DC71B0" w:rsidRDefault="00002E2D" w:rsidP="0073332A">
      <w:pPr>
        <w:pStyle w:val="APDCodeList"/>
        <w:rPr>
          <w:rFonts w:asciiTheme="majorHAnsi" w:hAnsiTheme="majorHAnsi" w:cstheme="majorHAnsi"/>
        </w:rPr>
      </w:pPr>
      <w:r w:rsidRPr="00DC71B0">
        <w:rPr>
          <w:rFonts w:asciiTheme="majorHAnsi" w:hAnsiTheme="majorHAnsi" w:cstheme="majorHAnsi"/>
        </w:rPr>
        <w:t>410C</w:t>
      </w:r>
      <w:r w:rsidRPr="00DC71B0">
        <w:rPr>
          <w:rFonts w:asciiTheme="majorHAnsi" w:hAnsiTheme="majorHAnsi" w:cstheme="majorHAnsi"/>
        </w:rPr>
        <w:tab/>
        <w:t>Title 30 TAC § 117.410(c)(2) [relating to Emission Specifications for Attainment Demonstration]</w:t>
      </w:r>
    </w:p>
    <w:p w14:paraId="786CE581" w14:textId="77777777" w:rsidR="00002E2D" w:rsidRPr="00DC71B0" w:rsidRDefault="00002E2D" w:rsidP="0073332A">
      <w:pPr>
        <w:pStyle w:val="APDCodeList"/>
        <w:rPr>
          <w:rFonts w:asciiTheme="majorHAnsi" w:hAnsiTheme="majorHAnsi" w:cstheme="majorHAnsi"/>
        </w:rPr>
      </w:pPr>
      <w:r w:rsidRPr="00DC71B0">
        <w:rPr>
          <w:rFonts w:asciiTheme="majorHAnsi" w:hAnsiTheme="majorHAnsi" w:cstheme="majorHAnsi"/>
        </w:rPr>
        <w:t>405D</w:t>
      </w:r>
      <w:r w:rsidRPr="00DC71B0">
        <w:rPr>
          <w:rFonts w:asciiTheme="majorHAnsi" w:hAnsiTheme="majorHAnsi" w:cstheme="majorHAnsi"/>
        </w:rPr>
        <w:tab/>
        <w:t>Title 30 TAC § 117.405(d)(2) [use for units subject to Reasonably Available Control Technology (RACT) requirements in Wise County in the Dallas/Fort Worth Eight-Hour ozone nonattainment</w:t>
      </w:r>
      <w:r w:rsidR="00361DA7">
        <w:rPr>
          <w:rFonts w:asciiTheme="majorHAnsi" w:hAnsiTheme="majorHAnsi" w:cstheme="majorHAnsi"/>
        </w:rPr>
        <w:t> </w:t>
      </w:r>
      <w:r w:rsidRPr="00DC71B0">
        <w:rPr>
          <w:rFonts w:asciiTheme="majorHAnsi" w:hAnsiTheme="majorHAnsi" w:cstheme="majorHAnsi"/>
        </w:rPr>
        <w:t>area]</w:t>
      </w:r>
    </w:p>
    <w:p w14:paraId="04AD7356" w14:textId="77777777" w:rsidR="006E16A0" w:rsidRDefault="00002E2D" w:rsidP="0073332A">
      <w:pPr>
        <w:pStyle w:val="APDCodeList"/>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 30 TAC § 117.425</w:t>
      </w:r>
    </w:p>
    <w:p w14:paraId="0D2E6C42" w14:textId="77777777" w:rsidR="00002E2D" w:rsidRPr="00DC71B0" w:rsidRDefault="00002E2D" w:rsidP="000E4846">
      <w:pPr>
        <w:pStyle w:val="APDCompleteStarStyle"/>
      </w:pPr>
      <w:r w:rsidRPr="00DC71B0">
        <w:t>Complete “NH3 Monitoring” only if “NOx Reduction” is “POST1.”</w:t>
      </w:r>
    </w:p>
    <w:p w14:paraId="48FBD46D" w14:textId="77777777" w:rsidR="00002E2D" w:rsidRPr="00DC71B0" w:rsidRDefault="00002E2D" w:rsidP="00BA7250">
      <w:pPr>
        <w:pStyle w:val="APDBodyBOLDheader"/>
        <w:tabs>
          <w:tab w:val="left" w:pos="0"/>
        </w:tabs>
        <w:rPr>
          <w:rFonts w:asciiTheme="majorHAnsi" w:hAnsiTheme="majorHAnsi" w:cstheme="majorHAnsi"/>
        </w:rPr>
      </w:pPr>
      <w:r w:rsidRPr="00DC71B0">
        <w:rPr>
          <w:rFonts w:asciiTheme="majorHAnsi" w:hAnsiTheme="majorHAnsi" w:cstheme="majorHAnsi"/>
        </w:rPr>
        <w:t>NH3 Monitoring:</w:t>
      </w:r>
    </w:p>
    <w:p w14:paraId="00113923" w14:textId="77777777" w:rsidR="00002E2D" w:rsidRPr="00DC71B0" w:rsidRDefault="00002E2D" w:rsidP="00BA7250">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to indicate how the unit is monitored for NH3 emissions. Enter the code on the form.</w:t>
      </w:r>
    </w:p>
    <w:p w14:paraId="2FC99788" w14:textId="77777777" w:rsidR="003416DA" w:rsidRPr="00DC71B0" w:rsidRDefault="003416DA" w:rsidP="00361DA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63C70F80" w14:textId="77777777" w:rsidR="00002E2D" w:rsidRPr="00DC71B0" w:rsidRDefault="00002E2D" w:rsidP="00361DA7">
      <w:pPr>
        <w:pStyle w:val="APDCodeList"/>
        <w:rPr>
          <w:rFonts w:asciiTheme="majorHAnsi" w:hAnsiTheme="majorHAnsi" w:cstheme="majorHAnsi"/>
        </w:rPr>
      </w:pPr>
      <w:r w:rsidRPr="00DC71B0">
        <w:rPr>
          <w:rFonts w:asciiTheme="majorHAnsi" w:hAnsiTheme="majorHAnsi" w:cstheme="majorHAnsi"/>
        </w:rPr>
        <w:t>CEMS</w:t>
      </w:r>
      <w:r w:rsidRPr="00DC71B0">
        <w:rPr>
          <w:rFonts w:asciiTheme="majorHAnsi" w:hAnsiTheme="majorHAnsi" w:cstheme="majorHAnsi"/>
        </w:rPr>
        <w:tab/>
        <w:t>Continuous emissions monitoring system</w:t>
      </w:r>
    </w:p>
    <w:p w14:paraId="66AA99D5" w14:textId="77777777" w:rsidR="00002E2D" w:rsidRPr="00DC71B0" w:rsidRDefault="00002E2D" w:rsidP="00361DA7">
      <w:pPr>
        <w:pStyle w:val="APDCodeList"/>
        <w:rPr>
          <w:rFonts w:asciiTheme="majorHAnsi" w:hAnsiTheme="majorHAnsi" w:cstheme="majorHAnsi"/>
        </w:rPr>
      </w:pPr>
      <w:r w:rsidRPr="00DC71B0">
        <w:rPr>
          <w:rFonts w:asciiTheme="majorHAnsi" w:hAnsiTheme="majorHAnsi" w:cstheme="majorHAnsi"/>
        </w:rPr>
        <w:t>PEMS</w:t>
      </w:r>
      <w:r w:rsidRPr="00DC71B0">
        <w:rPr>
          <w:rFonts w:asciiTheme="majorHAnsi" w:hAnsiTheme="majorHAnsi" w:cstheme="majorHAnsi"/>
        </w:rPr>
        <w:tab/>
        <w:t>Predictive emissions monitoring system</w:t>
      </w:r>
    </w:p>
    <w:p w14:paraId="39DC75A4" w14:textId="77777777" w:rsidR="00002E2D" w:rsidRPr="00DC71B0" w:rsidRDefault="00002E2D" w:rsidP="00361DA7">
      <w:pPr>
        <w:pStyle w:val="APDCodeList"/>
        <w:rPr>
          <w:rFonts w:asciiTheme="majorHAnsi" w:hAnsiTheme="majorHAnsi" w:cstheme="majorHAnsi"/>
        </w:rPr>
      </w:pPr>
      <w:r w:rsidRPr="00DC71B0">
        <w:rPr>
          <w:rFonts w:asciiTheme="majorHAnsi" w:hAnsiTheme="majorHAnsi" w:cstheme="majorHAnsi"/>
        </w:rPr>
        <w:t>MBAL</w:t>
      </w:r>
      <w:r w:rsidRPr="00DC71B0">
        <w:rPr>
          <w:rFonts w:asciiTheme="majorHAnsi" w:hAnsiTheme="majorHAnsi" w:cstheme="majorHAnsi"/>
        </w:rPr>
        <w:tab/>
        <w:t xml:space="preserve">Mass balance </w:t>
      </w:r>
    </w:p>
    <w:p w14:paraId="5999F8AE" w14:textId="77777777" w:rsidR="00002E2D" w:rsidRPr="00DC71B0" w:rsidRDefault="00002E2D" w:rsidP="00361DA7">
      <w:pPr>
        <w:pStyle w:val="APDCodeList"/>
        <w:rPr>
          <w:rFonts w:asciiTheme="majorHAnsi" w:hAnsiTheme="majorHAnsi" w:cstheme="majorHAnsi"/>
        </w:rPr>
      </w:pPr>
      <w:r w:rsidRPr="00DC71B0">
        <w:rPr>
          <w:rFonts w:asciiTheme="majorHAnsi" w:hAnsiTheme="majorHAnsi" w:cstheme="majorHAnsi"/>
        </w:rPr>
        <w:t>OXY</w:t>
      </w:r>
      <w:r w:rsidRPr="00DC71B0">
        <w:rPr>
          <w:rFonts w:asciiTheme="majorHAnsi" w:hAnsiTheme="majorHAnsi" w:cstheme="majorHAnsi"/>
        </w:rPr>
        <w:tab/>
        <w:t>Oxidation of ammonia to nitric oxide (NO)</w:t>
      </w:r>
    </w:p>
    <w:p w14:paraId="02E61ED4" w14:textId="77777777" w:rsidR="00002E2D" w:rsidRPr="00DC71B0" w:rsidRDefault="00002E2D" w:rsidP="00361DA7">
      <w:pPr>
        <w:pStyle w:val="APDCodeList"/>
        <w:rPr>
          <w:rFonts w:asciiTheme="majorHAnsi" w:hAnsiTheme="majorHAnsi" w:cstheme="majorHAnsi"/>
        </w:rPr>
      </w:pPr>
      <w:r w:rsidRPr="00DC71B0">
        <w:rPr>
          <w:rFonts w:asciiTheme="majorHAnsi" w:hAnsiTheme="majorHAnsi" w:cstheme="majorHAnsi"/>
        </w:rPr>
        <w:t>STUBE</w:t>
      </w:r>
      <w:r w:rsidRPr="00DC71B0">
        <w:rPr>
          <w:rFonts w:asciiTheme="majorHAnsi" w:hAnsiTheme="majorHAnsi" w:cstheme="majorHAnsi"/>
        </w:rPr>
        <w:tab/>
        <w:t>Stain tube</w:t>
      </w:r>
    </w:p>
    <w:p w14:paraId="513968E8" w14:textId="77777777" w:rsidR="00002E2D" w:rsidRPr="00DC71B0" w:rsidRDefault="00002E2D" w:rsidP="00002E2D">
      <w:pPr>
        <w:pStyle w:val="APDBody"/>
        <w:pBdr>
          <w:bottom w:val="double" w:sz="6" w:space="1" w:color="auto"/>
        </w:pBdr>
        <w:rPr>
          <w:rFonts w:asciiTheme="majorHAnsi" w:hAnsiTheme="majorHAnsi" w:cstheme="majorHAnsi"/>
        </w:rPr>
      </w:pPr>
    </w:p>
    <w:bookmarkStart w:id="10" w:name="Table2"/>
    <w:p w14:paraId="227A6779" w14:textId="03376ECC" w:rsidR="00002E2D" w:rsidRPr="00DC71B0" w:rsidRDefault="008D04A9" w:rsidP="003416DA">
      <w:pPr>
        <w:pStyle w:val="APDTable1stSpecific"/>
        <w:rPr>
          <w:rFonts w:asciiTheme="majorHAnsi" w:hAnsiTheme="majorHAnsi" w:cstheme="majorHAnsi"/>
        </w:rPr>
      </w:pPr>
      <w:r w:rsidRPr="00273CFE">
        <w:rPr>
          <w:rStyle w:val="Hyperlink"/>
        </w:rPr>
        <w:fldChar w:fldCharType="begin"/>
      </w:r>
      <w:r w:rsidR="00F06D9A">
        <w:rPr>
          <w:rStyle w:val="Hyperlink"/>
        </w:rPr>
        <w:instrText>HYPERLINK  \l "TBL2" \o "Table 2"</w:instrText>
      </w:r>
      <w:r w:rsidRPr="00273CFE">
        <w:rPr>
          <w:rStyle w:val="Hyperlink"/>
        </w:rPr>
      </w:r>
      <w:r w:rsidRPr="00273CFE">
        <w:rPr>
          <w:rStyle w:val="Hyperlink"/>
        </w:rPr>
        <w:fldChar w:fldCharType="separate"/>
      </w:r>
      <w:r w:rsidR="00002E2D" w:rsidRPr="0036344A">
        <w:rPr>
          <w:rStyle w:val="Hyperlink"/>
        </w:rPr>
        <w:t>Table 2</w:t>
      </w:r>
      <w:bookmarkEnd w:id="10"/>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112 (30 TAC Chapter 112) Control of Air Pollution from Sulfur Compounds</w:t>
      </w:r>
    </w:p>
    <w:p w14:paraId="4CE0599C" w14:textId="77777777" w:rsidR="00002E2D" w:rsidRPr="00DC71B0" w:rsidRDefault="00002E2D" w:rsidP="00BA7250">
      <w:pPr>
        <w:pStyle w:val="APDCompleteStarStyle"/>
        <w:spacing w:after="0"/>
      </w:pPr>
      <w:r w:rsidRPr="00DC71B0">
        <w:t>Complete for SOP applications and Municipal Solid Waste Landfill (MSWL) GOP applications only.</w:t>
      </w:r>
    </w:p>
    <w:p w14:paraId="55DA888B" w14:textId="77777777" w:rsidR="00002E2D" w:rsidRPr="00DC71B0" w:rsidRDefault="00002E2D" w:rsidP="001A38D9">
      <w:pPr>
        <w:pStyle w:val="APDCompleteStarStyle"/>
        <w:spacing w:before="0"/>
      </w:pPr>
      <w:r w:rsidRPr="00DC71B0">
        <w:t>Complete only for liquid fuel-fired heaters or furnaces.</w:t>
      </w:r>
    </w:p>
    <w:p w14:paraId="3BB5124A" w14:textId="77777777" w:rsidR="00002E2D" w:rsidRPr="00DC71B0" w:rsidRDefault="00002E2D" w:rsidP="00BA7250">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2C8B79E6" w14:textId="77777777" w:rsidR="00002E2D" w:rsidRPr="00DC71B0" w:rsidRDefault="00002E2D" w:rsidP="00BA7250">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 Unit Summary).</w:t>
      </w:r>
    </w:p>
    <w:p w14:paraId="7DD03E4C" w14:textId="77777777" w:rsidR="001A38D9" w:rsidRDefault="001A38D9">
      <w:pPr>
        <w:rPr>
          <w:rFonts w:asciiTheme="majorHAnsi" w:hAnsiTheme="majorHAnsi" w:cstheme="majorHAnsi"/>
          <w:b/>
        </w:rPr>
      </w:pPr>
      <w:r>
        <w:rPr>
          <w:rFonts w:asciiTheme="majorHAnsi" w:hAnsiTheme="majorHAnsi" w:cstheme="majorHAnsi"/>
        </w:rPr>
        <w:br w:type="page"/>
      </w:r>
    </w:p>
    <w:p w14:paraId="38F2F055" w14:textId="77777777" w:rsidR="00002E2D" w:rsidRPr="00DC71B0" w:rsidRDefault="00002E2D" w:rsidP="00BA7250">
      <w:pPr>
        <w:pStyle w:val="APDBodyBOLDheader"/>
        <w:tabs>
          <w:tab w:val="left" w:pos="0"/>
        </w:tabs>
        <w:rPr>
          <w:rFonts w:asciiTheme="majorHAnsi" w:hAnsiTheme="majorHAnsi" w:cstheme="majorHAnsi"/>
        </w:rPr>
      </w:pPr>
      <w:bookmarkStart w:id="11" w:name="_Hlk146788612"/>
      <w:r w:rsidRPr="00DC71B0">
        <w:rPr>
          <w:rFonts w:asciiTheme="majorHAnsi" w:hAnsiTheme="majorHAnsi" w:cstheme="majorHAnsi"/>
        </w:rPr>
        <w:lastRenderedPageBreak/>
        <w:t>SOP/GOP Index No.:</w:t>
      </w:r>
    </w:p>
    <w:p w14:paraId="5AFAB722" w14:textId="73F28A60" w:rsidR="003416DA" w:rsidRPr="004F70DF" w:rsidRDefault="00002E2D" w:rsidP="00BA7250">
      <w:pPr>
        <w:pStyle w:val="APDBody"/>
        <w:tabs>
          <w:tab w:val="left" w:pos="0"/>
        </w:tabs>
        <w:rPr>
          <w:rStyle w:val="Hyperlink"/>
          <w:color w:val="auto"/>
          <w:u w:val="none"/>
        </w:rPr>
      </w:pPr>
      <w:r w:rsidRPr="00DC71B0">
        <w:rPr>
          <w:rFonts w:asciiTheme="majorHAnsi" w:hAnsiTheme="majorHAnsi" w:cstheme="majorHAnsi"/>
        </w:rPr>
        <w:t>Site operating permit (SOP) applicants should indicate the SOP index number for the unit or group of units (maximum</w:t>
      </w:r>
      <w:r w:rsidR="00FA0FB0">
        <w:rPr>
          <w:rFonts w:asciiTheme="majorHAnsi" w:hAnsiTheme="majorHAnsi" w:cstheme="majorHAnsi"/>
        </w:rPr>
        <w:t> </w:t>
      </w:r>
      <w:r w:rsidRPr="00DC71B0">
        <w:rPr>
          <w:rFonts w:asciiTheme="majorHAnsi" w:hAnsiTheme="majorHAnsi" w:cstheme="majorHAnsi"/>
        </w:rPr>
        <w:t>15</w:t>
      </w:r>
      <w:r w:rsidR="00FA0FB0">
        <w:rPr>
          <w:rFonts w:asciiTheme="majorHAnsi" w:hAnsiTheme="majorHAnsi" w:cstheme="majorHAnsi"/>
        </w:rPr>
        <w:t> </w:t>
      </w:r>
      <w:r w:rsidRPr="00DC71B0">
        <w:rPr>
          <w:rFonts w:asciiTheme="majorHAnsi" w:hAnsiTheme="majorHAnsi" w:cstheme="majorHAnsi"/>
        </w:rPr>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w:t>
      </w:r>
      <w:r w:rsidR="00615652">
        <w:rPr>
          <w:rFonts w:asciiTheme="majorHAnsi" w:hAnsiTheme="majorHAnsi" w:cstheme="majorHAnsi"/>
        </w:rPr>
        <w:t xml:space="preserve"> c</w:t>
      </w:r>
      <w:r w:rsidR="00416FC5" w:rsidRPr="00DC71B0">
        <w:rPr>
          <w:rFonts w:asciiTheme="majorHAnsi" w:hAnsiTheme="majorHAnsi" w:cstheme="majorHAnsi"/>
        </w:rPr>
        <w:t xml:space="preserve">omplete </w:t>
      </w:r>
      <w:r w:rsidRPr="00DC71B0">
        <w:rPr>
          <w:rFonts w:asciiTheme="majorHAnsi" w:hAnsiTheme="majorHAnsi" w:cstheme="majorHAnsi"/>
        </w:rPr>
        <w:t>all applicable GOP attribute information before determining the GOP index number.</w:t>
      </w:r>
      <w:r w:rsidR="00123291" w:rsidRPr="00123291">
        <w:rPr>
          <w:rFonts w:asciiTheme="majorHAnsi" w:hAnsiTheme="majorHAnsi" w:cstheme="majorHAnsi"/>
        </w:rPr>
        <w:t xml:space="preserve"> </w:t>
      </w:r>
      <w:r w:rsidR="00123291" w:rsidRPr="00DE6438">
        <w:rPr>
          <w:rFonts w:asciiTheme="majorHAnsi" w:hAnsiTheme="majorHAnsi" w:cstheme="majorHAnsi"/>
        </w:rPr>
        <w:t xml:space="preserve">For additional information relating to </w:t>
      </w:r>
      <w:r w:rsidR="00123291" w:rsidRPr="00712AEC">
        <w:rPr>
          <w:rFonts w:asciiTheme="majorHAnsi" w:hAnsiTheme="majorHAnsi" w:cstheme="majorHAnsi"/>
        </w:rPr>
        <w:t xml:space="preserve">SOP and GOP index numbers, please see the Completing FOP Applications – Additional Guidance on the TCEQ website at </w:t>
      </w:r>
      <w:hyperlink r:id="rId14" w:tooltip="TCEQ - Completing FOP Applications - Additional Guidance" w:history="1">
        <w:r w:rsidR="00123291" w:rsidRPr="009D4860">
          <w:rPr>
            <w:rStyle w:val="Hyperlink"/>
          </w:rPr>
          <w:t>www.tceq.texas.gov/permitting/air/guidance/titlev/tv_fop_guidance.html</w:t>
        </w:r>
      </w:hyperlink>
      <w:r w:rsidR="00123291" w:rsidRPr="00793C3D">
        <w:rPr>
          <w:rStyle w:val="Hyperlink"/>
          <w:color w:val="auto"/>
          <w:u w:val="none"/>
        </w:rPr>
        <w:t>.</w:t>
      </w:r>
    </w:p>
    <w:bookmarkEnd w:id="11"/>
    <w:p w14:paraId="5F506D6A" w14:textId="77777777" w:rsidR="00002E2D" w:rsidRPr="00DC71B0" w:rsidRDefault="00002E2D" w:rsidP="00BA7250">
      <w:pPr>
        <w:pStyle w:val="APDBodyBOLDheader"/>
        <w:tabs>
          <w:tab w:val="left" w:pos="0"/>
        </w:tabs>
        <w:rPr>
          <w:rFonts w:asciiTheme="majorHAnsi" w:hAnsiTheme="majorHAnsi" w:cstheme="majorHAnsi"/>
        </w:rPr>
      </w:pPr>
      <w:r w:rsidRPr="00DC71B0">
        <w:rPr>
          <w:rFonts w:asciiTheme="majorHAnsi" w:hAnsiTheme="majorHAnsi" w:cstheme="majorHAnsi"/>
        </w:rPr>
        <w:t>Effective Stack Height:</w:t>
      </w:r>
    </w:p>
    <w:p w14:paraId="2B826216" w14:textId="77777777" w:rsidR="00002E2D" w:rsidRPr="00DC71B0" w:rsidRDefault="00002E2D" w:rsidP="00BA7250">
      <w:pPr>
        <w:pStyle w:val="APDBody"/>
        <w:tabs>
          <w:tab w:val="left" w:pos="0"/>
        </w:tabs>
        <w:rPr>
          <w:rFonts w:asciiTheme="majorHAnsi" w:hAnsiTheme="majorHAnsi" w:cstheme="majorHAnsi"/>
        </w:rPr>
      </w:pPr>
      <w:r w:rsidRPr="00DC71B0">
        <w:rPr>
          <w:rFonts w:asciiTheme="majorHAnsi" w:hAnsiTheme="majorHAnsi" w:cstheme="majorHAnsi"/>
        </w:rPr>
        <w:t>Enter “YES” if the effective stack height is less than the standard effective stack height. Otherwise, enter “NO.”</w:t>
      </w:r>
    </w:p>
    <w:p w14:paraId="43F9B305" w14:textId="77777777" w:rsidR="00002E2D" w:rsidRPr="00DC71B0" w:rsidRDefault="00002E2D" w:rsidP="00BA7250">
      <w:pPr>
        <w:pStyle w:val="APDBodyBOLDheader"/>
        <w:tabs>
          <w:tab w:val="left" w:pos="0"/>
        </w:tabs>
        <w:rPr>
          <w:rFonts w:asciiTheme="majorHAnsi" w:hAnsiTheme="majorHAnsi" w:cstheme="majorHAnsi"/>
        </w:rPr>
      </w:pPr>
      <w:r w:rsidRPr="00DC71B0">
        <w:rPr>
          <w:rFonts w:asciiTheme="majorHAnsi" w:hAnsiTheme="majorHAnsi" w:cstheme="majorHAnsi"/>
        </w:rPr>
        <w:t>Emission Point ID No.:</w:t>
      </w:r>
    </w:p>
    <w:p w14:paraId="5D55962A" w14:textId="77777777" w:rsidR="00002E2D" w:rsidRPr="00DC71B0" w:rsidRDefault="00002E2D" w:rsidP="00BA7250">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of the emission point(s) (maximum 10 characters) to which the process heater or furnace routes emissions. This number should be consistent with the unit identification number listed on Form OP-SUM.</w:t>
      </w:r>
    </w:p>
    <w:p w14:paraId="376EB0CF" w14:textId="77777777" w:rsidR="00002E2D" w:rsidRPr="00DC71B0" w:rsidRDefault="00002E2D" w:rsidP="00002E2D">
      <w:pPr>
        <w:pStyle w:val="APDBody"/>
        <w:pBdr>
          <w:bottom w:val="double" w:sz="6" w:space="1" w:color="auto"/>
        </w:pBdr>
        <w:rPr>
          <w:rFonts w:asciiTheme="majorHAnsi" w:hAnsiTheme="majorHAnsi" w:cstheme="majorHAnsi"/>
        </w:rPr>
      </w:pPr>
    </w:p>
    <w:bookmarkStart w:id="12" w:name="Table3a"/>
    <w:p w14:paraId="2C81D017" w14:textId="73B3B033" w:rsidR="00002E2D" w:rsidRPr="00DC71B0" w:rsidRDefault="00BA7250" w:rsidP="00002E2D">
      <w:pPr>
        <w:pStyle w:val="APDTable1stSpecific"/>
        <w:rPr>
          <w:rFonts w:asciiTheme="majorHAnsi" w:hAnsiTheme="majorHAnsi" w:cstheme="majorHAnsi"/>
        </w:rPr>
      </w:pPr>
      <w:r>
        <w:rPr>
          <w:rStyle w:val="Hyperlink"/>
        </w:rPr>
        <w:fldChar w:fldCharType="begin"/>
      </w:r>
      <w:r>
        <w:rPr>
          <w:rStyle w:val="Hyperlink"/>
        </w:rPr>
        <w:instrText>HYPERLINK  \l "TBL3a" \o "Table 3a"</w:instrText>
      </w:r>
      <w:r>
        <w:rPr>
          <w:rStyle w:val="Hyperlink"/>
        </w:rPr>
      </w:r>
      <w:r>
        <w:rPr>
          <w:rStyle w:val="Hyperlink"/>
        </w:rPr>
        <w:fldChar w:fldCharType="separate"/>
      </w:r>
      <w:r w:rsidR="00002E2D" w:rsidRPr="00BA7250">
        <w:rPr>
          <w:rStyle w:val="Hyperlink"/>
        </w:rPr>
        <w:t>Table 3a</w:t>
      </w:r>
      <w:bookmarkEnd w:id="12"/>
      <w:r w:rsidR="00002E2D" w:rsidRPr="00BA7250">
        <w:rPr>
          <w:rStyle w:val="Hyperlink"/>
        </w:rPr>
        <w:t>:</w:t>
      </w:r>
      <w:r>
        <w:rPr>
          <w:rStyle w:val="Hyperlink"/>
        </w:rPr>
        <w:fldChar w:fldCharType="end"/>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Furnaces</w:t>
      </w:r>
    </w:p>
    <w:p w14:paraId="0B18C27F" w14:textId="77777777" w:rsidR="00002E2D" w:rsidRPr="00DC71B0" w:rsidRDefault="00002E2D" w:rsidP="00002E2D">
      <w:pPr>
        <w:pStyle w:val="APDCompleteStarStyle"/>
      </w:pPr>
      <w:r w:rsidRPr="00DC71B0">
        <w:t>Complete only for sites that are major sources of NOx, as defined in 30 TAC § 117.10, and are located in the Houston/Galveston/Brazoria or Dallas/Fort Worth Eight-Hour ozone nonattainment areas.</w:t>
      </w:r>
    </w:p>
    <w:p w14:paraId="4FEA4832" w14:textId="77777777" w:rsidR="00002E2D" w:rsidRPr="00DC71B0" w:rsidRDefault="00002E2D" w:rsidP="002D1CB8">
      <w:pPr>
        <w:pStyle w:val="APDItalicNOTE"/>
        <w:tabs>
          <w:tab w:val="left" w:pos="0"/>
        </w:tabs>
        <w:rPr>
          <w:rFonts w:asciiTheme="majorHAnsi" w:hAnsiTheme="majorHAnsi" w:cstheme="majorHAnsi"/>
        </w:rPr>
      </w:pPr>
      <w:r w:rsidRPr="00DC71B0">
        <w:rPr>
          <w:rFonts w:asciiTheme="majorHAnsi" w:hAnsiTheme="majorHAnsi" w:cstheme="majorHAnsi"/>
        </w:rPr>
        <w:t>Note: The Dallas/Fort Worth Eight-Hour ozone nonattainment area consists of Collin, Dallas, Denton, Ellis, Johnson, Kaufman, Parker, Rockwall, and Tarrant counties.</w:t>
      </w:r>
    </w:p>
    <w:p w14:paraId="69E079A2" w14:textId="77777777" w:rsidR="00002E2D" w:rsidRPr="00DC71B0" w:rsidRDefault="00002E2D" w:rsidP="002D1CB8">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63A72307" w14:textId="0C367889" w:rsidR="00002E2D" w:rsidRPr="00DC71B0" w:rsidRDefault="00002E2D" w:rsidP="002D1CB8">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w:t>
      </w:r>
      <w:r w:rsidR="00793C3D">
        <w:rPr>
          <w:rFonts w:asciiTheme="majorHAnsi" w:hAnsiTheme="majorHAnsi" w:cstheme="majorHAnsi"/>
        </w:rPr>
        <w:t> </w:t>
      </w:r>
      <w:r w:rsidRPr="00DC71B0">
        <w:rPr>
          <w:rFonts w:asciiTheme="majorHAnsi" w:hAnsiTheme="majorHAnsi" w:cstheme="majorHAnsi"/>
        </w:rPr>
        <w:t>Unit Summary).</w:t>
      </w:r>
    </w:p>
    <w:p w14:paraId="1DF7A1F4" w14:textId="77777777" w:rsidR="00002E2D" w:rsidRPr="00DC71B0" w:rsidRDefault="00002E2D" w:rsidP="002D1CB8">
      <w:pPr>
        <w:pStyle w:val="APDBodyBOLDheader"/>
        <w:tabs>
          <w:tab w:val="left" w:pos="0"/>
        </w:tabs>
        <w:rPr>
          <w:rFonts w:asciiTheme="majorHAnsi" w:hAnsiTheme="majorHAnsi" w:cstheme="majorHAnsi"/>
        </w:rPr>
      </w:pPr>
      <w:r w:rsidRPr="00DC71B0">
        <w:rPr>
          <w:rFonts w:asciiTheme="majorHAnsi" w:hAnsiTheme="majorHAnsi" w:cstheme="majorHAnsi"/>
        </w:rPr>
        <w:t>SOP Index No.:</w:t>
      </w:r>
    </w:p>
    <w:p w14:paraId="400CE263" w14:textId="7BF0793D" w:rsidR="00002E2D" w:rsidRPr="00DC71B0" w:rsidRDefault="00002E2D" w:rsidP="002D1CB8">
      <w:pPr>
        <w:pStyle w:val="APDBody"/>
        <w:tabs>
          <w:tab w:val="left" w:pos="0"/>
        </w:tabs>
        <w:rPr>
          <w:rFonts w:asciiTheme="majorHAnsi" w:hAnsiTheme="majorHAnsi" w:cstheme="majorHAnsi"/>
        </w:rPr>
      </w:pPr>
      <w:r w:rsidRPr="00DC71B0">
        <w:rPr>
          <w:rFonts w:asciiTheme="majorHAnsi" w:hAnsiTheme="majorHAnsi" w:cstheme="majorHAnsi"/>
        </w:rPr>
        <w:t>Site operating permit (SOP) applicants should indicate the SOP index number for the unit or group of units (maximum</w:t>
      </w:r>
      <w:r w:rsidR="003E3DFC">
        <w:rPr>
          <w:rFonts w:asciiTheme="majorHAnsi" w:hAnsiTheme="majorHAnsi" w:cstheme="majorHAnsi"/>
        </w:rPr>
        <w:t> </w:t>
      </w:r>
      <w:r w:rsidRPr="00DC71B0">
        <w:rPr>
          <w:rFonts w:asciiTheme="majorHAnsi" w:hAnsiTheme="majorHAnsi" w:cstheme="majorHAnsi"/>
        </w:rPr>
        <w:t>15</w:t>
      </w:r>
      <w:r w:rsidR="003E3DFC">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00216277" w:rsidRPr="00DE6438">
        <w:rPr>
          <w:rFonts w:asciiTheme="majorHAnsi" w:hAnsiTheme="majorHAnsi" w:cstheme="majorHAnsi"/>
        </w:rPr>
        <w:t xml:space="preserve">For additional information relating to </w:t>
      </w:r>
      <w:r w:rsidR="00216277" w:rsidRPr="00712AEC">
        <w:rPr>
          <w:rFonts w:asciiTheme="majorHAnsi" w:hAnsiTheme="majorHAnsi" w:cstheme="majorHAnsi"/>
        </w:rPr>
        <w:t xml:space="preserve">SOP </w:t>
      </w:r>
      <w:r w:rsidR="00D34C1C">
        <w:rPr>
          <w:rFonts w:asciiTheme="majorHAnsi" w:hAnsiTheme="majorHAnsi" w:cstheme="majorHAnsi"/>
        </w:rPr>
        <w:t xml:space="preserve">index </w:t>
      </w:r>
      <w:r w:rsidR="00216277" w:rsidRPr="00712AEC">
        <w:rPr>
          <w:rFonts w:asciiTheme="majorHAnsi" w:hAnsiTheme="majorHAnsi" w:cstheme="majorHAnsi"/>
        </w:rPr>
        <w:t xml:space="preserve">numbers, please see the Completing FOP Applications – Additional Guidance on the TCEQ website at </w:t>
      </w:r>
      <w:hyperlink r:id="rId15" w:tooltip="TCEQ - Completing FOP Applications - Additional Guidance" w:history="1">
        <w:r w:rsidR="00216277" w:rsidRPr="009D4860">
          <w:rPr>
            <w:rStyle w:val="Hyperlink"/>
          </w:rPr>
          <w:t>www.tceq.texas.gov/permitting/air/guidance/titlev/tv_fop_guidance.html</w:t>
        </w:r>
      </w:hyperlink>
      <w:r w:rsidR="00216277" w:rsidRPr="00273CFE">
        <w:rPr>
          <w:rStyle w:val="Hyperlink"/>
        </w:rPr>
        <w:t>.</w:t>
      </w:r>
    </w:p>
    <w:p w14:paraId="4955B426" w14:textId="77777777" w:rsidR="00002E2D" w:rsidRPr="00DC71B0" w:rsidRDefault="00002E2D" w:rsidP="002D1CB8">
      <w:pPr>
        <w:pStyle w:val="APDBodyBOLDheader"/>
        <w:tabs>
          <w:tab w:val="left" w:pos="0"/>
        </w:tabs>
        <w:rPr>
          <w:rFonts w:asciiTheme="majorHAnsi" w:hAnsiTheme="majorHAnsi" w:cstheme="majorHAnsi"/>
        </w:rPr>
      </w:pPr>
      <w:r w:rsidRPr="00DC71B0">
        <w:rPr>
          <w:rFonts w:asciiTheme="majorHAnsi" w:hAnsiTheme="majorHAnsi" w:cstheme="majorHAnsi"/>
        </w:rPr>
        <w:t>Unit Type:</w:t>
      </w:r>
    </w:p>
    <w:p w14:paraId="77ECFAE1" w14:textId="77777777" w:rsidR="00002E2D" w:rsidRPr="00DC71B0" w:rsidRDefault="00002E2D" w:rsidP="002D1CB8">
      <w:pPr>
        <w:pStyle w:val="APDBody"/>
        <w:tabs>
          <w:tab w:val="left" w:pos="0"/>
        </w:tabs>
        <w:rPr>
          <w:rFonts w:asciiTheme="majorHAnsi" w:hAnsiTheme="majorHAnsi" w:cstheme="majorHAnsi"/>
        </w:rPr>
      </w:pPr>
      <w:r w:rsidRPr="00DC71B0">
        <w:rPr>
          <w:rFonts w:asciiTheme="majorHAnsi" w:hAnsiTheme="majorHAnsi" w:cstheme="majorHAnsi"/>
        </w:rPr>
        <w:t>Select one of the following types of units from the list below. Enter the code on the form.</w:t>
      </w:r>
    </w:p>
    <w:p w14:paraId="59618B37" w14:textId="77777777" w:rsidR="00002E2D" w:rsidRPr="00DC71B0" w:rsidRDefault="00002E2D" w:rsidP="002D1CB8">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units located in the Houston/Galveston/Brazoria ozone nonattainment area:</w:t>
      </w:r>
    </w:p>
    <w:p w14:paraId="0E269207" w14:textId="77777777" w:rsidR="00002E2D" w:rsidRPr="00DC71B0" w:rsidRDefault="00002E2D" w:rsidP="003E3DFC">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8BCD03C" w14:textId="151603FD"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HTFUR</w:t>
      </w:r>
      <w:r w:rsidRPr="00DC71B0">
        <w:rPr>
          <w:rFonts w:asciiTheme="majorHAnsi" w:hAnsiTheme="majorHAnsi" w:cstheme="majorHAnsi"/>
        </w:rPr>
        <w:tab/>
        <w:t xml:space="preserve">Metallurgical </w:t>
      </w:r>
      <w:proofErr w:type="gramStart"/>
      <w:r w:rsidR="002D1CB8" w:rsidRPr="00DC71B0">
        <w:rPr>
          <w:rFonts w:asciiTheme="majorHAnsi" w:hAnsiTheme="majorHAnsi" w:cstheme="majorHAnsi"/>
        </w:rPr>
        <w:t>heat</w:t>
      </w:r>
      <w:r w:rsidR="00A740BE">
        <w:rPr>
          <w:rFonts w:asciiTheme="majorHAnsi" w:hAnsiTheme="majorHAnsi" w:cstheme="majorHAnsi"/>
        </w:rPr>
        <w:t xml:space="preserve"> </w:t>
      </w:r>
      <w:r w:rsidR="002D1CB8" w:rsidRPr="00DC71B0">
        <w:rPr>
          <w:rFonts w:asciiTheme="majorHAnsi" w:hAnsiTheme="majorHAnsi" w:cstheme="majorHAnsi"/>
        </w:rPr>
        <w:t>treating</w:t>
      </w:r>
      <w:proofErr w:type="gramEnd"/>
      <w:r w:rsidRPr="00DC71B0">
        <w:rPr>
          <w:rFonts w:asciiTheme="majorHAnsi" w:hAnsiTheme="majorHAnsi" w:cstheme="majorHAnsi"/>
        </w:rPr>
        <w:t xml:space="preserve"> furnace</w:t>
      </w:r>
    </w:p>
    <w:p w14:paraId="7E8D88C0"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RHFUR</w:t>
      </w:r>
      <w:r w:rsidRPr="00DC71B0">
        <w:rPr>
          <w:rFonts w:asciiTheme="majorHAnsi" w:hAnsiTheme="majorHAnsi" w:cstheme="majorHAnsi"/>
        </w:rPr>
        <w:tab/>
        <w:t>Metallurgical reheat furnace</w:t>
      </w:r>
    </w:p>
    <w:p w14:paraId="16C430CD"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PLRF</w:t>
      </w:r>
      <w:r w:rsidRPr="00DC71B0">
        <w:rPr>
          <w:rFonts w:asciiTheme="majorHAnsi" w:hAnsiTheme="majorHAnsi" w:cstheme="majorHAnsi"/>
        </w:rPr>
        <w:tab/>
        <w:t>Pulping liquor recovery furnace</w:t>
      </w:r>
    </w:p>
    <w:p w14:paraId="7F90F678"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INDFUR</w:t>
      </w:r>
      <w:r w:rsidRPr="00DC71B0">
        <w:rPr>
          <w:rFonts w:asciiTheme="majorHAnsi" w:hAnsiTheme="majorHAnsi" w:cstheme="majorHAnsi"/>
        </w:rPr>
        <w:tab/>
        <w:t>Industrial Furnace - Regulated as an existing facility by the EPA in Title 40 Code of Federal Regulations Part 266 (40 CFR Part 266), Subpart H (as was in effect on June 9, 1993)</w:t>
      </w:r>
    </w:p>
    <w:p w14:paraId="774C5D2A" w14:textId="662EBD77" w:rsidR="00494BE2" w:rsidRDefault="00002E2D" w:rsidP="003E3DFC">
      <w:pPr>
        <w:pStyle w:val="APDCodeList"/>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t xml:space="preserve">Molten sulfur oxidation furnace or </w:t>
      </w:r>
      <w:proofErr w:type="gramStart"/>
      <w:r w:rsidR="00F32AC9" w:rsidRPr="00DC71B0">
        <w:rPr>
          <w:rFonts w:asciiTheme="majorHAnsi" w:hAnsiTheme="majorHAnsi" w:cstheme="majorHAnsi"/>
        </w:rPr>
        <w:t>other</w:t>
      </w:r>
      <w:proofErr w:type="gramEnd"/>
      <w:r w:rsidRPr="00DC71B0">
        <w:rPr>
          <w:rFonts w:asciiTheme="majorHAnsi" w:hAnsiTheme="majorHAnsi" w:cstheme="majorHAnsi"/>
        </w:rPr>
        <w:t xml:space="preserve"> furnace not listed above</w:t>
      </w:r>
    </w:p>
    <w:p w14:paraId="3E74BB48" w14:textId="33395A1A" w:rsidR="00002E2D" w:rsidRPr="00DC71B0" w:rsidRDefault="00494BE2" w:rsidP="00273CFE">
      <w:pPr>
        <w:rPr>
          <w:rFonts w:asciiTheme="majorHAnsi" w:hAnsiTheme="majorHAnsi" w:cstheme="majorHAnsi"/>
        </w:rPr>
      </w:pPr>
      <w:r>
        <w:rPr>
          <w:rFonts w:asciiTheme="majorHAnsi" w:hAnsiTheme="majorHAnsi" w:cstheme="majorHAnsi"/>
        </w:rPr>
        <w:br w:type="page"/>
      </w:r>
    </w:p>
    <w:p w14:paraId="479F12F6" w14:textId="77777777" w:rsidR="00002E2D" w:rsidRPr="00DC71B0" w:rsidRDefault="00002E2D" w:rsidP="00CE5D6F">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lastRenderedPageBreak/>
        <w:t>For units located in the Dallas/Fort Worth Eight-Hour ozone nonattainment area:</w:t>
      </w:r>
    </w:p>
    <w:p w14:paraId="3CA74733" w14:textId="77777777" w:rsidR="003416DA" w:rsidRPr="00DC71B0" w:rsidRDefault="003416DA" w:rsidP="003416DA">
      <w:pPr>
        <w:pStyle w:val="APDCodeDescriptionBOLD"/>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8635594"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EARC</w:t>
      </w:r>
      <w:r w:rsidRPr="00DC71B0">
        <w:rPr>
          <w:rFonts w:asciiTheme="majorHAnsi" w:hAnsiTheme="majorHAnsi" w:cstheme="majorHAnsi"/>
        </w:rPr>
        <w:tab/>
        <w:t>Electric arc melting furnace used in steel production</w:t>
      </w:r>
    </w:p>
    <w:p w14:paraId="15D6F7BE" w14:textId="4724A5C4"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HTFUR</w:t>
      </w:r>
      <w:r w:rsidRPr="00DC71B0">
        <w:rPr>
          <w:rFonts w:asciiTheme="majorHAnsi" w:hAnsiTheme="majorHAnsi" w:cstheme="majorHAnsi"/>
        </w:rPr>
        <w:tab/>
        <w:t xml:space="preserve">Metallurgical </w:t>
      </w:r>
      <w:proofErr w:type="gramStart"/>
      <w:r w:rsidR="00CE5D6F" w:rsidRPr="00DC71B0">
        <w:rPr>
          <w:rFonts w:asciiTheme="majorHAnsi" w:hAnsiTheme="majorHAnsi" w:cstheme="majorHAnsi"/>
        </w:rPr>
        <w:t>heat</w:t>
      </w:r>
      <w:r w:rsidR="008C666B">
        <w:rPr>
          <w:rFonts w:asciiTheme="majorHAnsi" w:hAnsiTheme="majorHAnsi" w:cstheme="majorHAnsi"/>
        </w:rPr>
        <w:t xml:space="preserve"> </w:t>
      </w:r>
      <w:r w:rsidR="00CE5D6F" w:rsidRPr="00DC71B0">
        <w:rPr>
          <w:rFonts w:asciiTheme="majorHAnsi" w:hAnsiTheme="majorHAnsi" w:cstheme="majorHAnsi"/>
        </w:rPr>
        <w:t>treating</w:t>
      </w:r>
      <w:proofErr w:type="gramEnd"/>
      <w:r w:rsidRPr="00DC71B0">
        <w:rPr>
          <w:rFonts w:asciiTheme="majorHAnsi" w:hAnsiTheme="majorHAnsi" w:cstheme="majorHAnsi"/>
        </w:rPr>
        <w:t xml:space="preserve"> furnace</w:t>
      </w:r>
    </w:p>
    <w:p w14:paraId="72EAF9EE"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RHFUR</w:t>
      </w:r>
      <w:r w:rsidRPr="00DC71B0">
        <w:rPr>
          <w:rFonts w:asciiTheme="majorHAnsi" w:hAnsiTheme="majorHAnsi" w:cstheme="majorHAnsi"/>
        </w:rPr>
        <w:tab/>
        <w:t>Metallurgical reheat furnace</w:t>
      </w:r>
    </w:p>
    <w:p w14:paraId="2D57917A" w14:textId="06D3E18D" w:rsidR="001A38D9" w:rsidRDefault="00002E2D" w:rsidP="00DD6DEE">
      <w:pPr>
        <w:pStyle w:val="APDCodeList"/>
      </w:pPr>
      <w:r w:rsidRPr="00DC71B0">
        <w:rPr>
          <w:rFonts w:asciiTheme="majorHAnsi" w:hAnsiTheme="majorHAnsi" w:cstheme="majorHAnsi"/>
        </w:rPr>
        <w:t>LSCO</w:t>
      </w:r>
      <w:r w:rsidRPr="00DC71B0">
        <w:rPr>
          <w:rFonts w:asciiTheme="majorHAnsi" w:hAnsiTheme="majorHAnsi" w:cstheme="majorHAnsi"/>
        </w:rPr>
        <w:tab/>
        <w:t>Lead smelting blast (cupola) and reverberatory furnaces used in conjunction</w:t>
      </w:r>
    </w:p>
    <w:p w14:paraId="1374D2FC"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GLASS</w:t>
      </w:r>
      <w:r w:rsidRPr="00DC71B0">
        <w:rPr>
          <w:rFonts w:asciiTheme="majorHAnsi" w:hAnsiTheme="majorHAnsi" w:cstheme="majorHAnsi"/>
        </w:rPr>
        <w:tab/>
        <w:t>Container glass melting furnaces</w:t>
      </w:r>
    </w:p>
    <w:p w14:paraId="03CEC2FA"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MWCOLD</w:t>
      </w:r>
      <w:r w:rsidRPr="00DC71B0">
        <w:rPr>
          <w:rFonts w:asciiTheme="majorHAnsi" w:hAnsiTheme="majorHAnsi" w:cstheme="majorHAnsi"/>
        </w:rPr>
        <w:tab/>
        <w:t>Mineral wool-type cold-top electric fiberglass melting furnaces</w:t>
      </w:r>
    </w:p>
    <w:p w14:paraId="2E1A917E"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MWREGEN</w:t>
      </w:r>
      <w:r w:rsidRPr="00DC71B0">
        <w:rPr>
          <w:rFonts w:asciiTheme="majorHAnsi" w:hAnsiTheme="majorHAnsi" w:cstheme="majorHAnsi"/>
        </w:rPr>
        <w:tab/>
        <w:t>Mineral wool-type fiberglass regenerative furnaces</w:t>
      </w:r>
    </w:p>
    <w:p w14:paraId="4C4C49BE"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MWNON</w:t>
      </w:r>
      <w:r w:rsidRPr="00DC71B0">
        <w:rPr>
          <w:rFonts w:asciiTheme="majorHAnsi" w:hAnsiTheme="majorHAnsi" w:cstheme="majorHAnsi"/>
        </w:rPr>
        <w:tab/>
        <w:t>Mineral wool-type fiberglass non-regenerative gas-fired furnaces</w:t>
      </w:r>
    </w:p>
    <w:p w14:paraId="25B5D5FE"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INDFUR</w:t>
      </w:r>
      <w:r w:rsidRPr="00DC71B0">
        <w:rPr>
          <w:rFonts w:asciiTheme="majorHAnsi" w:hAnsiTheme="majorHAnsi" w:cstheme="majorHAnsi"/>
        </w:rPr>
        <w:tab/>
        <w:t>Industrial Furnace - Regulated as an existing facility by the EPA in Title 40 Code of Federal Regulations Part 266 (40 CFR Part 266), Subpart H (as was in effect on June 9, 1993)</w:t>
      </w:r>
    </w:p>
    <w:p w14:paraId="4BDF2E31" w14:textId="4115E951"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PLRFOTHER</w:t>
      </w:r>
      <w:r w:rsidRPr="00DC71B0">
        <w:rPr>
          <w:rFonts w:asciiTheme="majorHAnsi" w:hAnsiTheme="majorHAnsi" w:cstheme="majorHAnsi"/>
        </w:rPr>
        <w:tab/>
        <w:t xml:space="preserve">Pulping liquor recovery furnace, molten sulfur oxidation furnace or </w:t>
      </w:r>
      <w:proofErr w:type="gramStart"/>
      <w:r w:rsidR="00CE5D6F" w:rsidRPr="00DC71B0">
        <w:rPr>
          <w:rFonts w:asciiTheme="majorHAnsi" w:hAnsiTheme="majorHAnsi" w:cstheme="majorHAnsi"/>
        </w:rPr>
        <w:t>other</w:t>
      </w:r>
      <w:proofErr w:type="gramEnd"/>
      <w:r w:rsidRPr="00DC71B0">
        <w:rPr>
          <w:rFonts w:asciiTheme="majorHAnsi" w:hAnsiTheme="majorHAnsi" w:cstheme="majorHAnsi"/>
        </w:rPr>
        <w:t xml:space="preserve"> furnace not listed above</w:t>
      </w:r>
    </w:p>
    <w:p w14:paraId="4BFBDB20" w14:textId="77777777" w:rsidR="00002E2D" w:rsidRPr="00DC71B0" w:rsidRDefault="00002E2D" w:rsidP="00601F58">
      <w:pPr>
        <w:pStyle w:val="APDBodyBOLDheader"/>
        <w:tabs>
          <w:tab w:val="left" w:pos="0"/>
        </w:tabs>
        <w:rPr>
          <w:rFonts w:asciiTheme="majorHAnsi" w:hAnsiTheme="majorHAnsi" w:cstheme="majorHAnsi"/>
        </w:rPr>
      </w:pPr>
      <w:r w:rsidRPr="00DC71B0">
        <w:rPr>
          <w:rFonts w:asciiTheme="majorHAnsi" w:hAnsiTheme="majorHAnsi" w:cstheme="majorHAnsi"/>
        </w:rPr>
        <w:t>Maximum Rated Capacity:</w:t>
      </w:r>
    </w:p>
    <w:p w14:paraId="181245DA" w14:textId="77777777" w:rsidR="00002E2D" w:rsidRPr="00DC71B0" w:rsidRDefault="00002E2D" w:rsidP="00601F58">
      <w:pPr>
        <w:pStyle w:val="APDBody"/>
        <w:tabs>
          <w:tab w:val="left" w:pos="0"/>
        </w:tabs>
        <w:rPr>
          <w:rFonts w:asciiTheme="majorHAnsi" w:hAnsiTheme="majorHAnsi" w:cstheme="majorHAnsi"/>
        </w:rPr>
      </w:pPr>
      <w:r w:rsidRPr="00DC71B0">
        <w:rPr>
          <w:rFonts w:asciiTheme="majorHAnsi" w:hAnsiTheme="majorHAnsi" w:cstheme="majorHAnsi"/>
        </w:rPr>
        <w:t>Select one of the following ranges for maximum rated capacity (MRC), as defined in 30 TAC Chapter 117. Enter the code on the form.</w:t>
      </w:r>
    </w:p>
    <w:p w14:paraId="100E6CE7" w14:textId="77777777" w:rsidR="003416DA" w:rsidRPr="00DC71B0" w:rsidRDefault="003416DA" w:rsidP="003416DA">
      <w:pPr>
        <w:pStyle w:val="APDCodeDescriptionBOLD"/>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14748FF2"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2-</w:t>
      </w:r>
      <w:r w:rsidRPr="00DC71B0">
        <w:rPr>
          <w:rFonts w:asciiTheme="majorHAnsi" w:hAnsiTheme="majorHAnsi" w:cstheme="majorHAnsi"/>
        </w:rPr>
        <w:tab/>
        <w:t>MRC is less than or equal to 2 MMBtu/</w:t>
      </w:r>
      <w:proofErr w:type="spellStart"/>
      <w:r w:rsidRPr="00DC71B0">
        <w:rPr>
          <w:rFonts w:asciiTheme="majorHAnsi" w:hAnsiTheme="majorHAnsi" w:cstheme="majorHAnsi"/>
        </w:rPr>
        <w:t>hr</w:t>
      </w:r>
      <w:proofErr w:type="spellEnd"/>
    </w:p>
    <w:p w14:paraId="56C2E8F7"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2-20</w:t>
      </w:r>
      <w:r w:rsidRPr="00DC71B0">
        <w:rPr>
          <w:rFonts w:asciiTheme="majorHAnsi" w:hAnsiTheme="majorHAnsi" w:cstheme="majorHAnsi"/>
        </w:rPr>
        <w:tab/>
        <w:t>MRC is greater than 2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20 MMBtu/</w:t>
      </w:r>
      <w:proofErr w:type="spellStart"/>
      <w:r w:rsidRPr="00DC71B0">
        <w:rPr>
          <w:rFonts w:asciiTheme="majorHAnsi" w:hAnsiTheme="majorHAnsi" w:cstheme="majorHAnsi"/>
        </w:rPr>
        <w:t>hr</w:t>
      </w:r>
      <w:proofErr w:type="spellEnd"/>
    </w:p>
    <w:p w14:paraId="0E703276"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20-40</w:t>
      </w:r>
      <w:r w:rsidRPr="00DC71B0">
        <w:rPr>
          <w:rFonts w:asciiTheme="majorHAnsi" w:hAnsiTheme="majorHAnsi" w:cstheme="majorHAnsi"/>
        </w:rPr>
        <w:tab/>
        <w:t>MRC is greater than 20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40 MMBtu/</w:t>
      </w:r>
      <w:proofErr w:type="spellStart"/>
      <w:r w:rsidRPr="00DC71B0">
        <w:rPr>
          <w:rFonts w:asciiTheme="majorHAnsi" w:hAnsiTheme="majorHAnsi" w:cstheme="majorHAnsi"/>
        </w:rPr>
        <w:t>hr</w:t>
      </w:r>
      <w:proofErr w:type="spellEnd"/>
    </w:p>
    <w:p w14:paraId="014C8D79"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40-100</w:t>
      </w:r>
      <w:r w:rsidRPr="00DC71B0">
        <w:rPr>
          <w:rFonts w:asciiTheme="majorHAnsi" w:hAnsiTheme="majorHAnsi" w:cstheme="majorHAnsi"/>
        </w:rPr>
        <w:tab/>
        <w:t>MRC is greater than or equal to 40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100 MMBtu/</w:t>
      </w:r>
      <w:proofErr w:type="spellStart"/>
      <w:r w:rsidRPr="00DC71B0">
        <w:rPr>
          <w:rFonts w:asciiTheme="majorHAnsi" w:hAnsiTheme="majorHAnsi" w:cstheme="majorHAnsi"/>
        </w:rPr>
        <w:t>hr</w:t>
      </w:r>
      <w:proofErr w:type="spellEnd"/>
    </w:p>
    <w:p w14:paraId="70DBFBB3"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100-200</w:t>
      </w:r>
      <w:r w:rsidRPr="00DC71B0">
        <w:rPr>
          <w:rFonts w:asciiTheme="majorHAnsi" w:hAnsiTheme="majorHAnsi" w:cstheme="majorHAnsi"/>
        </w:rPr>
        <w:tab/>
        <w:t>MRC is greater than or equal to 100 MMBtu/</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but less than 200 MMBtu/</w:t>
      </w:r>
      <w:proofErr w:type="spellStart"/>
      <w:r w:rsidRPr="00DC71B0">
        <w:rPr>
          <w:rFonts w:asciiTheme="majorHAnsi" w:hAnsiTheme="majorHAnsi" w:cstheme="majorHAnsi"/>
        </w:rPr>
        <w:t>hr</w:t>
      </w:r>
      <w:proofErr w:type="spellEnd"/>
    </w:p>
    <w:p w14:paraId="4253EA54"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200+</w:t>
      </w:r>
      <w:r w:rsidRPr="00DC71B0">
        <w:rPr>
          <w:rFonts w:asciiTheme="majorHAnsi" w:hAnsiTheme="majorHAnsi" w:cstheme="majorHAnsi"/>
        </w:rPr>
        <w:tab/>
        <w:t>MRC is greater than or equal to 200 MMBtu/</w:t>
      </w:r>
      <w:proofErr w:type="spellStart"/>
      <w:r w:rsidRPr="00DC71B0">
        <w:rPr>
          <w:rFonts w:asciiTheme="majorHAnsi" w:hAnsiTheme="majorHAnsi" w:cstheme="majorHAnsi"/>
        </w:rPr>
        <w:t>hr</w:t>
      </w:r>
      <w:proofErr w:type="spellEnd"/>
    </w:p>
    <w:p w14:paraId="285177E7" w14:textId="77777777" w:rsidR="00D45DFD" w:rsidRDefault="00002E2D" w:rsidP="00FC1BF9">
      <w:pPr>
        <w:pStyle w:val="APDContinueTriangleStyleList"/>
        <w:spacing w:after="0"/>
        <w:rPr>
          <w:rFonts w:asciiTheme="majorHAnsi" w:hAnsiTheme="majorHAnsi" w:cstheme="majorHAnsi"/>
        </w:rPr>
      </w:pPr>
      <w:r w:rsidRPr="00DC71B0">
        <w:rPr>
          <w:rFonts w:asciiTheme="majorHAnsi" w:hAnsiTheme="majorHAnsi" w:cstheme="majorHAnsi"/>
        </w:rPr>
        <w:t>Do not continue if</w:t>
      </w:r>
      <w:r w:rsidR="00D45DFD">
        <w:rPr>
          <w:rFonts w:asciiTheme="majorHAnsi" w:hAnsiTheme="majorHAnsi" w:cstheme="majorHAnsi"/>
        </w:rPr>
        <w:t>:</w:t>
      </w:r>
    </w:p>
    <w:p w14:paraId="58719529" w14:textId="77777777" w:rsidR="00D45DFD" w:rsidRDefault="00D45DFD" w:rsidP="000D5197">
      <w:pPr>
        <w:pStyle w:val="APDContinueTriangleStyleList"/>
        <w:numPr>
          <w:ilvl w:val="0"/>
          <w:numId w:val="23"/>
        </w:numPr>
        <w:tabs>
          <w:tab w:val="left" w:pos="1094"/>
        </w:tabs>
        <w:spacing w:before="0" w:after="0"/>
        <w:ind w:left="1094" w:hanging="547"/>
        <w:rPr>
          <w:rFonts w:asciiTheme="majorHAnsi" w:hAnsiTheme="majorHAnsi" w:cstheme="majorHAnsi"/>
        </w:rPr>
      </w:pPr>
      <w:r>
        <w:rPr>
          <w:rFonts w:asciiTheme="majorHAnsi" w:hAnsiTheme="majorHAnsi" w:cstheme="majorHAnsi"/>
        </w:rPr>
        <w:t xml:space="preserve">The </w:t>
      </w:r>
      <w:r w:rsidR="00002E2D" w:rsidRPr="00DC71B0">
        <w:rPr>
          <w:rFonts w:asciiTheme="majorHAnsi" w:hAnsiTheme="majorHAnsi" w:cstheme="majorHAnsi"/>
        </w:rPr>
        <w:t>“Unit Type” is “OTHER;” or</w:t>
      </w:r>
    </w:p>
    <w:p w14:paraId="1874213C" w14:textId="77777777" w:rsidR="005D657B" w:rsidRDefault="00D45DFD" w:rsidP="00D45DFD">
      <w:pPr>
        <w:pStyle w:val="APDContinueTriangleStyleList"/>
        <w:numPr>
          <w:ilvl w:val="0"/>
          <w:numId w:val="23"/>
        </w:numPr>
        <w:tabs>
          <w:tab w:val="left" w:pos="1094"/>
        </w:tabs>
        <w:spacing w:before="0"/>
        <w:ind w:left="1094" w:hanging="547"/>
        <w:rPr>
          <w:rFonts w:asciiTheme="majorHAnsi" w:hAnsiTheme="majorHAnsi" w:cstheme="majorHAnsi"/>
        </w:rPr>
      </w:pPr>
      <w:r>
        <w:rPr>
          <w:rFonts w:asciiTheme="majorHAnsi" w:hAnsiTheme="majorHAnsi" w:cstheme="majorHAnsi"/>
        </w:rPr>
        <w:t xml:space="preserve">If the </w:t>
      </w:r>
      <w:r w:rsidR="00002E2D" w:rsidRPr="00DC71B0">
        <w:rPr>
          <w:rFonts w:asciiTheme="majorHAnsi" w:hAnsiTheme="majorHAnsi" w:cstheme="majorHAnsi"/>
        </w:rPr>
        <w:t>“Unit Type” is “HTFUR” or “RHFUR” and “Maximum Rated Capacity” is “2</w:t>
      </w:r>
      <w:proofErr w:type="gramStart"/>
      <w:r w:rsidR="00002E2D" w:rsidRPr="00DC71B0">
        <w:rPr>
          <w:rFonts w:asciiTheme="majorHAnsi" w:hAnsiTheme="majorHAnsi" w:cstheme="majorHAnsi"/>
        </w:rPr>
        <w:t>-“ or</w:t>
      </w:r>
      <w:proofErr w:type="gramEnd"/>
      <w:r w:rsidR="00002E2D" w:rsidRPr="00DC71B0">
        <w:rPr>
          <w:rFonts w:asciiTheme="majorHAnsi" w:hAnsiTheme="majorHAnsi" w:cstheme="majorHAnsi"/>
        </w:rPr>
        <w:t xml:space="preserve"> “2-20.”</w:t>
      </w:r>
    </w:p>
    <w:p w14:paraId="3A2BBE62" w14:textId="77777777" w:rsidR="00002E2D" w:rsidRPr="00DC71B0" w:rsidRDefault="00002E2D" w:rsidP="00601F58">
      <w:pPr>
        <w:pStyle w:val="APDContinueTriangleStyleList"/>
        <w:spacing w:after="0"/>
        <w:rPr>
          <w:rFonts w:asciiTheme="majorHAnsi" w:hAnsiTheme="majorHAnsi" w:cstheme="majorHAnsi"/>
        </w:rPr>
      </w:pPr>
      <w:r w:rsidRPr="00DC71B0">
        <w:rPr>
          <w:rFonts w:asciiTheme="majorHAnsi" w:hAnsiTheme="majorHAnsi" w:cstheme="majorHAnsi"/>
        </w:rPr>
        <w:t>Do not continue if</w:t>
      </w:r>
      <w:r w:rsidR="006C695F">
        <w:rPr>
          <w:rFonts w:asciiTheme="majorHAnsi" w:hAnsiTheme="majorHAnsi" w:cstheme="majorHAnsi"/>
        </w:rPr>
        <w:t>:</w:t>
      </w:r>
    </w:p>
    <w:p w14:paraId="3B33894C" w14:textId="7A2565D4" w:rsidR="006C695F" w:rsidRDefault="006C695F" w:rsidP="003E3DFC">
      <w:pPr>
        <w:pStyle w:val="APDBodyBOLDheader"/>
        <w:numPr>
          <w:ilvl w:val="0"/>
          <w:numId w:val="22"/>
        </w:numPr>
        <w:tabs>
          <w:tab w:val="left" w:pos="547"/>
          <w:tab w:val="left" w:pos="1094"/>
        </w:tabs>
        <w:spacing w:before="0"/>
        <w:ind w:left="1094" w:hanging="547"/>
        <w:rPr>
          <w:rFonts w:asciiTheme="majorHAnsi" w:hAnsiTheme="majorHAnsi" w:cstheme="majorHAnsi"/>
        </w:rPr>
      </w:pPr>
      <w:r>
        <w:rPr>
          <w:rFonts w:asciiTheme="majorHAnsi" w:hAnsiTheme="majorHAnsi" w:cstheme="majorHAnsi"/>
        </w:rPr>
        <w:t>T</w:t>
      </w:r>
      <w:r w:rsidRPr="00DC71B0">
        <w:rPr>
          <w:rFonts w:asciiTheme="majorHAnsi" w:hAnsiTheme="majorHAnsi" w:cstheme="majorHAnsi"/>
        </w:rPr>
        <w:t>he site is located in the Dallas/Fort Worth Eight-Hour ozone nonattainment area and “Unit Type” is “EARC</w:t>
      </w:r>
      <w:r w:rsidR="00F94A09" w:rsidRPr="00DC71B0">
        <w:rPr>
          <w:rFonts w:asciiTheme="majorHAnsi" w:hAnsiTheme="majorHAnsi" w:cstheme="majorHAnsi"/>
        </w:rPr>
        <w:t>,”</w:t>
      </w:r>
      <w:r w:rsidRPr="00DC71B0">
        <w:rPr>
          <w:rFonts w:asciiTheme="majorHAnsi" w:hAnsiTheme="majorHAnsi" w:cstheme="majorHAnsi"/>
        </w:rPr>
        <w:t xml:space="preserve"> “PLRFOTHER,” or “INDFUR;”</w:t>
      </w:r>
      <w:r>
        <w:rPr>
          <w:rFonts w:asciiTheme="majorHAnsi" w:hAnsiTheme="majorHAnsi" w:cstheme="majorHAnsi"/>
        </w:rPr>
        <w:t xml:space="preserve"> or</w:t>
      </w:r>
    </w:p>
    <w:p w14:paraId="4326FE54" w14:textId="77777777" w:rsidR="006C695F" w:rsidRDefault="005D657B" w:rsidP="003E3DFC">
      <w:pPr>
        <w:pStyle w:val="APDBodyBOLDheader"/>
        <w:numPr>
          <w:ilvl w:val="0"/>
          <w:numId w:val="22"/>
        </w:numPr>
        <w:tabs>
          <w:tab w:val="left" w:pos="547"/>
          <w:tab w:val="left" w:pos="1094"/>
        </w:tabs>
        <w:spacing w:before="0"/>
        <w:ind w:left="1094" w:hanging="547"/>
        <w:rPr>
          <w:rFonts w:asciiTheme="majorHAnsi" w:hAnsiTheme="majorHAnsi" w:cstheme="majorHAnsi"/>
        </w:rPr>
      </w:pPr>
      <w:r>
        <w:rPr>
          <w:rFonts w:asciiTheme="majorHAnsi" w:hAnsiTheme="majorHAnsi" w:cstheme="majorHAnsi"/>
        </w:rPr>
        <w:t>If t</w:t>
      </w:r>
      <w:r w:rsidR="006C695F">
        <w:rPr>
          <w:rFonts w:asciiTheme="majorHAnsi" w:hAnsiTheme="majorHAnsi" w:cstheme="majorHAnsi"/>
        </w:rPr>
        <w:t>he</w:t>
      </w:r>
      <w:r w:rsidR="006C695F" w:rsidRPr="00DC71B0">
        <w:rPr>
          <w:rFonts w:asciiTheme="majorHAnsi" w:hAnsiTheme="majorHAnsi" w:cstheme="majorHAnsi"/>
        </w:rPr>
        <w:t xml:space="preserve"> “Unit Type” is “GLASS,” “MWCOLD,” “MWREGEN” or “MWNON” and “Maximum Rated Capacity” is “2”.</w:t>
      </w:r>
    </w:p>
    <w:p w14:paraId="49F7AE90" w14:textId="77777777" w:rsidR="00002E2D" w:rsidRPr="00DC71B0" w:rsidRDefault="00002E2D" w:rsidP="00601F58">
      <w:pPr>
        <w:pStyle w:val="APDBodyBOLDheader"/>
        <w:tabs>
          <w:tab w:val="left" w:pos="0"/>
        </w:tabs>
        <w:rPr>
          <w:rFonts w:asciiTheme="majorHAnsi" w:hAnsiTheme="majorHAnsi" w:cstheme="majorHAnsi"/>
        </w:rPr>
      </w:pPr>
      <w:r w:rsidRPr="00DC71B0">
        <w:rPr>
          <w:rFonts w:asciiTheme="majorHAnsi" w:hAnsiTheme="majorHAnsi" w:cstheme="majorHAnsi"/>
        </w:rPr>
        <w:t>NOx Emission Limitation:</w:t>
      </w:r>
    </w:p>
    <w:p w14:paraId="3DF0A02E" w14:textId="77777777" w:rsidR="00002E2D" w:rsidRPr="00DC71B0" w:rsidRDefault="00002E2D" w:rsidP="00601F58">
      <w:pPr>
        <w:pStyle w:val="APDBody"/>
        <w:tabs>
          <w:tab w:val="left" w:pos="0"/>
        </w:tabs>
        <w:rPr>
          <w:rFonts w:asciiTheme="majorHAnsi" w:hAnsiTheme="majorHAnsi" w:cstheme="majorHAnsi"/>
        </w:rPr>
      </w:pPr>
      <w:r w:rsidRPr="00DC71B0">
        <w:rPr>
          <w:rFonts w:asciiTheme="majorHAnsi" w:hAnsiTheme="majorHAnsi" w:cstheme="majorHAnsi"/>
        </w:rPr>
        <w:t xml:space="preserve">Title 30 TAC Chapter 117 provides options to </w:t>
      </w:r>
      <w:proofErr w:type="gramStart"/>
      <w:r w:rsidRPr="00DC71B0">
        <w:rPr>
          <w:rFonts w:asciiTheme="majorHAnsi" w:hAnsiTheme="majorHAnsi" w:cstheme="majorHAnsi"/>
        </w:rPr>
        <w:t>be in compliance with</w:t>
      </w:r>
      <w:proofErr w:type="gramEnd"/>
      <w:r w:rsidRPr="00DC71B0">
        <w:rPr>
          <w:rFonts w:asciiTheme="majorHAnsi" w:hAnsiTheme="majorHAnsi" w:cstheme="majorHAnsi"/>
        </w:rPr>
        <w:t xml:space="preserve"> the applicable limitation standards listed in </w:t>
      </w:r>
      <w:r w:rsidR="006E16A0">
        <w:rPr>
          <w:rFonts w:asciiTheme="majorHAnsi" w:hAnsiTheme="majorHAnsi" w:cstheme="majorHAnsi"/>
        </w:rPr>
        <w:br/>
      </w:r>
      <w:r w:rsidRPr="00DC71B0">
        <w:rPr>
          <w:rFonts w:asciiTheme="majorHAnsi" w:hAnsiTheme="majorHAnsi" w:cstheme="majorHAnsi"/>
        </w:rPr>
        <w:t>30 TAC Chapter 117, Subchapter B. Select one of the following options. Enter the code on the form.</w:t>
      </w:r>
    </w:p>
    <w:p w14:paraId="533DE4B1" w14:textId="77777777" w:rsidR="003416DA" w:rsidRPr="00DC71B0" w:rsidRDefault="003416DA" w:rsidP="003E3DFC">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087B4E4B"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310A</w:t>
      </w:r>
      <w:r w:rsidRPr="00DC71B0">
        <w:rPr>
          <w:rFonts w:asciiTheme="majorHAnsi" w:hAnsiTheme="majorHAnsi" w:cstheme="majorHAnsi"/>
        </w:rPr>
        <w:tab/>
        <w:t>Title 30 TAC § 117.310(a) (use for units located in the Houston/Galveston ozone nonattainment area.)</w:t>
      </w:r>
    </w:p>
    <w:p w14:paraId="7D774D9D"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410A</w:t>
      </w:r>
      <w:r w:rsidRPr="00DC71B0">
        <w:rPr>
          <w:rFonts w:asciiTheme="majorHAnsi" w:hAnsiTheme="majorHAnsi" w:cstheme="majorHAnsi"/>
        </w:rPr>
        <w:tab/>
        <w:t xml:space="preserve">Title 30 TAC § 117.410(a)(8) or (a)(10) (use for units located in the Dallas/Fort Worth </w:t>
      </w:r>
      <w:r w:rsidR="00BA02CB" w:rsidRPr="00DC71B0">
        <w:rPr>
          <w:rFonts w:asciiTheme="majorHAnsi" w:hAnsiTheme="majorHAnsi" w:cstheme="majorHAnsi"/>
        </w:rPr>
        <w:br/>
      </w:r>
      <w:r w:rsidRPr="00DC71B0">
        <w:rPr>
          <w:rFonts w:asciiTheme="majorHAnsi" w:hAnsiTheme="majorHAnsi" w:cstheme="majorHAnsi"/>
        </w:rPr>
        <w:t>Eight Hour ozone nonattainment area)</w:t>
      </w:r>
    </w:p>
    <w:p w14:paraId="64E96CFB"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ACF</w:t>
      </w:r>
      <w:r w:rsidRPr="00DC71B0">
        <w:rPr>
          <w:rFonts w:asciiTheme="majorHAnsi" w:hAnsiTheme="majorHAnsi" w:cstheme="majorHAnsi"/>
        </w:rPr>
        <w:tab/>
        <w:t xml:space="preserve">Furnace is complying with an annual capacity factor specification under </w:t>
      </w:r>
      <w:r w:rsidR="00BA02CB" w:rsidRPr="00DC71B0">
        <w:rPr>
          <w:rFonts w:asciiTheme="majorHAnsi" w:hAnsiTheme="majorHAnsi" w:cstheme="majorHAnsi"/>
        </w:rPr>
        <w:br/>
      </w:r>
      <w:r w:rsidRPr="00DC71B0">
        <w:rPr>
          <w:rFonts w:asciiTheme="majorHAnsi" w:hAnsiTheme="majorHAnsi" w:cstheme="majorHAnsi"/>
        </w:rPr>
        <w:t>Title 30 TAC §§ 117.310(d)(3) and 117.310(a)(17) or Title 30 TAC § 117.410(a)(14)</w:t>
      </w:r>
    </w:p>
    <w:p w14:paraId="6A06B737"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SC</w:t>
      </w:r>
      <w:r w:rsidRPr="00DC71B0">
        <w:rPr>
          <w:rFonts w:asciiTheme="majorHAnsi" w:hAnsiTheme="majorHAnsi" w:cstheme="majorHAnsi"/>
        </w:rPr>
        <w:tab/>
        <w:t>Unit is complying with a Source Cap under Title 30 TAC § 117.423(a) (use for units located in the Dallas/Fort Worth Eight-Hour ozone nonattainment area)</w:t>
      </w:r>
    </w:p>
    <w:p w14:paraId="1EAFB79D" w14:textId="26E5D9E6" w:rsidR="00494BE2" w:rsidRDefault="00002E2D" w:rsidP="003416DA">
      <w:pPr>
        <w:pStyle w:val="APDCompleteStarStyle"/>
      </w:pPr>
      <w:r w:rsidRPr="00DC71B0">
        <w:t>Complete “23C-Option” only if “NOx Emission Limitation” is “SC.”</w:t>
      </w:r>
    </w:p>
    <w:p w14:paraId="56B989BC" w14:textId="7DFC535A" w:rsidR="00002E2D" w:rsidRPr="00494BE2" w:rsidRDefault="00494BE2" w:rsidP="00273CFE">
      <w:r>
        <w:br w:type="page"/>
      </w:r>
    </w:p>
    <w:p w14:paraId="5623B476" w14:textId="77777777" w:rsidR="00002E2D" w:rsidRPr="00DC71B0" w:rsidRDefault="00002E2D" w:rsidP="00FC08A0">
      <w:pPr>
        <w:pStyle w:val="APDBodyBOLDheader"/>
        <w:tabs>
          <w:tab w:val="left" w:pos="0"/>
        </w:tabs>
        <w:rPr>
          <w:rFonts w:asciiTheme="majorHAnsi" w:hAnsiTheme="majorHAnsi" w:cstheme="majorHAnsi"/>
        </w:rPr>
      </w:pPr>
      <w:r w:rsidRPr="00DC71B0">
        <w:rPr>
          <w:rFonts w:asciiTheme="majorHAnsi" w:hAnsiTheme="majorHAnsi" w:cstheme="majorHAnsi"/>
        </w:rPr>
        <w:lastRenderedPageBreak/>
        <w:t>23C-Option:</w:t>
      </w:r>
    </w:p>
    <w:p w14:paraId="32CEF613" w14:textId="77777777" w:rsidR="00002E2D" w:rsidRPr="00DC71B0" w:rsidRDefault="00002E2D" w:rsidP="00FC08A0">
      <w:pPr>
        <w:pStyle w:val="APDBody"/>
        <w:tabs>
          <w:tab w:val="left" w:pos="0"/>
        </w:tabs>
        <w:rPr>
          <w:rFonts w:asciiTheme="majorHAnsi" w:hAnsiTheme="majorHAnsi" w:cstheme="majorHAnsi"/>
        </w:rPr>
      </w:pPr>
      <w:r w:rsidRPr="00DC71B0">
        <w:rPr>
          <w:rFonts w:asciiTheme="majorHAnsi" w:hAnsiTheme="majorHAnsi" w:cstheme="majorHAnsi"/>
        </w:rPr>
        <w:t xml:space="preserve">Select one of the following § 117.123(c)(1) or 423(c)(1) options for monitoring. Enter the code on the form. </w:t>
      </w:r>
    </w:p>
    <w:p w14:paraId="48C2FD43" w14:textId="77777777" w:rsidR="003416DA" w:rsidRPr="00DC71B0" w:rsidRDefault="003416DA" w:rsidP="003E3DFC">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B7ABC51" w14:textId="0980966C"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23C-A</w:t>
      </w:r>
      <w:r w:rsidRPr="00DC71B0">
        <w:rPr>
          <w:rFonts w:asciiTheme="majorHAnsi" w:hAnsiTheme="majorHAnsi" w:cstheme="majorHAnsi"/>
        </w:rPr>
        <w:tab/>
        <w:t>NOx, CO, O</w:t>
      </w:r>
      <w:r w:rsidRPr="005728A6">
        <w:rPr>
          <w:rFonts w:asciiTheme="majorHAnsi" w:hAnsiTheme="majorHAnsi" w:cstheme="majorHAnsi"/>
          <w:vertAlign w:val="subscript"/>
        </w:rPr>
        <w:t>2</w:t>
      </w:r>
      <w:r w:rsidRPr="00DC71B0">
        <w:rPr>
          <w:rFonts w:asciiTheme="majorHAnsi" w:hAnsiTheme="majorHAnsi" w:cstheme="majorHAnsi"/>
        </w:rPr>
        <w:t xml:space="preserve"> (or CO</w:t>
      </w:r>
      <w:r w:rsidRPr="005728A6">
        <w:rPr>
          <w:rFonts w:asciiTheme="majorHAnsi" w:hAnsiTheme="majorHAnsi" w:cstheme="majorHAnsi"/>
          <w:vertAlign w:val="subscript"/>
        </w:rPr>
        <w:t>2</w:t>
      </w:r>
      <w:r w:rsidRPr="00DC71B0">
        <w:rPr>
          <w:rFonts w:asciiTheme="majorHAnsi" w:hAnsiTheme="majorHAnsi" w:cstheme="majorHAnsi"/>
        </w:rPr>
        <w:t>) CEMS and a totalizing fuel flow meter per § 17.423(c)(1)(A)</w:t>
      </w:r>
    </w:p>
    <w:p w14:paraId="2E976C7C" w14:textId="2517698E"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23C-B</w:t>
      </w:r>
      <w:r w:rsidRPr="00DC71B0">
        <w:rPr>
          <w:rFonts w:asciiTheme="majorHAnsi" w:hAnsiTheme="majorHAnsi" w:cstheme="majorHAnsi"/>
        </w:rPr>
        <w:tab/>
        <w:t>PEMS and a totalizing fuel flow meter per § 117.423(c)(1)(B)</w:t>
      </w:r>
    </w:p>
    <w:p w14:paraId="0EB98FC0" w14:textId="165F4716" w:rsidR="001A38D9" w:rsidRDefault="00002E2D" w:rsidP="00273CFE">
      <w:pPr>
        <w:pStyle w:val="APDCodeList"/>
      </w:pPr>
      <w:r w:rsidRPr="00DC71B0">
        <w:rPr>
          <w:rFonts w:asciiTheme="majorHAnsi" w:hAnsiTheme="majorHAnsi" w:cstheme="majorHAnsi"/>
        </w:rPr>
        <w:t>23C-C</w:t>
      </w:r>
      <w:r w:rsidRPr="00DC71B0">
        <w:rPr>
          <w:rFonts w:asciiTheme="majorHAnsi" w:hAnsiTheme="majorHAnsi" w:cstheme="majorHAnsi"/>
        </w:rPr>
        <w:tab/>
        <w:t xml:space="preserve">Rate measured by hourly emission rate testing per or § 117.423(c)(1)(C) </w:t>
      </w:r>
    </w:p>
    <w:p w14:paraId="7FCC731E" w14:textId="77777777" w:rsidR="00002E2D" w:rsidRPr="00DC71B0" w:rsidRDefault="00002E2D" w:rsidP="00FC08A0">
      <w:pPr>
        <w:pStyle w:val="APDBodyBOLDheader"/>
        <w:tabs>
          <w:tab w:val="left" w:pos="0"/>
        </w:tabs>
        <w:rPr>
          <w:rFonts w:asciiTheme="majorHAnsi" w:hAnsiTheme="majorHAnsi" w:cstheme="majorHAnsi"/>
        </w:rPr>
      </w:pPr>
      <w:r w:rsidRPr="00DC71B0">
        <w:rPr>
          <w:rFonts w:asciiTheme="majorHAnsi" w:hAnsiTheme="majorHAnsi" w:cstheme="majorHAnsi"/>
        </w:rPr>
        <w:t>NOx Emission Limit Basis:</w:t>
      </w:r>
    </w:p>
    <w:p w14:paraId="616949D8" w14:textId="77777777" w:rsidR="00002E2D" w:rsidRPr="00DC71B0" w:rsidRDefault="00002E2D" w:rsidP="00FC08A0">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for complying with the nitrogen oxides (NOx) emission limit. Enter the code on the form.</w:t>
      </w:r>
    </w:p>
    <w:p w14:paraId="1F42DEBA" w14:textId="77777777" w:rsidR="003416DA" w:rsidRPr="00DC71B0" w:rsidRDefault="003416DA" w:rsidP="003E3DFC">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636757B1"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30DAY</w:t>
      </w:r>
      <w:r w:rsidRPr="00DC71B0">
        <w:rPr>
          <w:rFonts w:asciiTheme="majorHAnsi" w:hAnsiTheme="majorHAnsi" w:cstheme="majorHAnsi"/>
        </w:rPr>
        <w:tab/>
      </w:r>
      <w:r w:rsidR="00CB37D0">
        <w:rPr>
          <w:rFonts w:asciiTheme="majorHAnsi" w:hAnsiTheme="majorHAnsi" w:cstheme="majorHAnsi"/>
        </w:rPr>
        <w:t>Complying with the applicable e</w:t>
      </w:r>
      <w:r w:rsidRPr="00DC71B0">
        <w:rPr>
          <w:rFonts w:asciiTheme="majorHAnsi" w:hAnsiTheme="majorHAnsi" w:cstheme="majorHAnsi"/>
        </w:rPr>
        <w:t xml:space="preserve">mission limit in </w:t>
      </w:r>
      <w:proofErr w:type="spellStart"/>
      <w:r w:rsidRPr="00DC71B0">
        <w:rPr>
          <w:rFonts w:asciiTheme="majorHAnsi" w:hAnsiTheme="majorHAnsi" w:cstheme="majorHAnsi"/>
        </w:rPr>
        <w:t>lb</w:t>
      </w:r>
      <w:proofErr w:type="spellEnd"/>
      <w:r w:rsidRPr="00DC71B0">
        <w:rPr>
          <w:rFonts w:asciiTheme="majorHAnsi" w:hAnsiTheme="majorHAnsi" w:cstheme="majorHAnsi"/>
        </w:rPr>
        <w:t>/MMBtu on a rolling 30-day average</w:t>
      </w:r>
    </w:p>
    <w:p w14:paraId="0E9BFE24"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BLK1-LB</w:t>
      </w:r>
      <w:r w:rsidRPr="00DC71B0">
        <w:rPr>
          <w:rFonts w:asciiTheme="majorHAnsi" w:hAnsiTheme="majorHAnsi" w:cstheme="majorHAnsi"/>
        </w:rPr>
        <w:tab/>
      </w:r>
      <w:r w:rsidR="00CB37D0">
        <w:rPr>
          <w:rFonts w:asciiTheme="majorHAnsi" w:hAnsiTheme="majorHAnsi" w:cstheme="majorHAnsi"/>
        </w:rPr>
        <w:t>Complying with the applicable e</w:t>
      </w:r>
      <w:r w:rsidRPr="00DC71B0">
        <w:rPr>
          <w:rFonts w:asciiTheme="majorHAnsi" w:hAnsiTheme="majorHAnsi" w:cstheme="majorHAnsi"/>
        </w:rPr>
        <w:t xml:space="preserve">mission limit in </w:t>
      </w:r>
      <w:proofErr w:type="spellStart"/>
      <w:r w:rsidRPr="00DC71B0">
        <w:rPr>
          <w:rFonts w:asciiTheme="majorHAnsi" w:hAnsiTheme="majorHAnsi" w:cstheme="majorHAnsi"/>
        </w:rPr>
        <w:t>lb</w:t>
      </w:r>
      <w:proofErr w:type="spellEnd"/>
      <w:r w:rsidRPr="00DC71B0">
        <w:rPr>
          <w:rFonts w:asciiTheme="majorHAnsi" w:hAnsiTheme="majorHAnsi" w:cstheme="majorHAnsi"/>
        </w:rPr>
        <w:t>/</w:t>
      </w:r>
      <w:proofErr w:type="spellStart"/>
      <w:r w:rsidRPr="00DC71B0">
        <w:rPr>
          <w:rFonts w:asciiTheme="majorHAnsi" w:hAnsiTheme="majorHAnsi" w:cstheme="majorHAnsi"/>
        </w:rPr>
        <w:t>hr</w:t>
      </w:r>
      <w:proofErr w:type="spellEnd"/>
      <w:r w:rsidRPr="00DC71B0">
        <w:rPr>
          <w:rFonts w:asciiTheme="majorHAnsi" w:hAnsiTheme="majorHAnsi" w:cstheme="majorHAnsi"/>
        </w:rPr>
        <w:t xml:space="preserve"> </w:t>
      </w:r>
      <w:r w:rsidR="00CB37D0">
        <w:rPr>
          <w:rFonts w:asciiTheme="majorHAnsi" w:hAnsiTheme="majorHAnsi" w:cstheme="majorHAnsi"/>
        </w:rPr>
        <w:t>using</w:t>
      </w:r>
      <w:r w:rsidR="00F53545">
        <w:rPr>
          <w:rFonts w:asciiTheme="majorHAnsi" w:hAnsiTheme="majorHAnsi" w:cstheme="majorHAnsi"/>
        </w:rPr>
        <w:t xml:space="preserve"> </w:t>
      </w:r>
      <w:r w:rsidRPr="00DC71B0">
        <w:rPr>
          <w:rFonts w:asciiTheme="majorHAnsi" w:hAnsiTheme="majorHAnsi" w:cstheme="majorHAnsi"/>
        </w:rPr>
        <w:t>a block one-hour average</w:t>
      </w:r>
    </w:p>
    <w:p w14:paraId="11716095"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r>
      <w:proofErr w:type="spellStart"/>
      <w:r w:rsidRPr="00DC71B0">
        <w:rPr>
          <w:rFonts w:asciiTheme="majorHAnsi" w:hAnsiTheme="majorHAnsi" w:cstheme="majorHAnsi"/>
        </w:rPr>
        <w:t>Other</w:t>
      </w:r>
      <w:proofErr w:type="spellEnd"/>
      <w:r w:rsidRPr="00DC71B0">
        <w:rPr>
          <w:rFonts w:asciiTheme="majorHAnsi" w:hAnsiTheme="majorHAnsi" w:cstheme="majorHAnsi"/>
        </w:rPr>
        <w:t xml:space="preserve"> emission limit basis</w:t>
      </w:r>
    </w:p>
    <w:p w14:paraId="4592DBC4" w14:textId="77777777" w:rsidR="00002E2D" w:rsidRPr="00DC71B0" w:rsidRDefault="00002E2D" w:rsidP="00FC08A0">
      <w:pPr>
        <w:pStyle w:val="APDBodyBOLDheader"/>
        <w:tabs>
          <w:tab w:val="left" w:pos="0"/>
        </w:tabs>
        <w:rPr>
          <w:rFonts w:asciiTheme="majorHAnsi" w:hAnsiTheme="majorHAnsi" w:cstheme="majorHAnsi"/>
        </w:rPr>
      </w:pPr>
      <w:r w:rsidRPr="00DC71B0">
        <w:rPr>
          <w:rFonts w:asciiTheme="majorHAnsi" w:hAnsiTheme="majorHAnsi" w:cstheme="majorHAnsi"/>
        </w:rPr>
        <w:t>NOx Reduction:</w:t>
      </w:r>
    </w:p>
    <w:p w14:paraId="2E05CB6A" w14:textId="77777777" w:rsidR="00002E2D" w:rsidRPr="00DC71B0" w:rsidRDefault="00002E2D" w:rsidP="00FC08A0">
      <w:pPr>
        <w:pStyle w:val="APDBody"/>
        <w:tabs>
          <w:tab w:val="left" w:pos="0"/>
        </w:tabs>
        <w:rPr>
          <w:rFonts w:asciiTheme="majorHAnsi" w:hAnsiTheme="majorHAnsi" w:cstheme="majorHAnsi"/>
        </w:rPr>
      </w:pPr>
      <w:r w:rsidRPr="00DC71B0">
        <w:rPr>
          <w:rFonts w:asciiTheme="majorHAnsi" w:hAnsiTheme="majorHAnsi" w:cstheme="majorHAnsi"/>
        </w:rPr>
        <w:t>Select one of the following NOx reduction options. Enter the code on the form.</w:t>
      </w:r>
    </w:p>
    <w:p w14:paraId="2F5979DA" w14:textId="77777777" w:rsidR="003416DA" w:rsidRPr="00DC71B0" w:rsidRDefault="003416DA" w:rsidP="003E3DFC">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16A45998"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WATER</w:t>
      </w:r>
      <w:r w:rsidRPr="00DC71B0">
        <w:rPr>
          <w:rFonts w:asciiTheme="majorHAnsi" w:hAnsiTheme="majorHAnsi" w:cstheme="majorHAnsi"/>
        </w:rPr>
        <w:tab/>
      </w:r>
      <w:proofErr w:type="spellStart"/>
      <w:r w:rsidRPr="00DC71B0">
        <w:rPr>
          <w:rFonts w:asciiTheme="majorHAnsi" w:hAnsiTheme="majorHAnsi" w:cstheme="majorHAnsi"/>
        </w:rPr>
        <w:t>Water</w:t>
      </w:r>
      <w:proofErr w:type="spellEnd"/>
      <w:r w:rsidRPr="00DC71B0">
        <w:rPr>
          <w:rFonts w:asciiTheme="majorHAnsi" w:hAnsiTheme="majorHAnsi" w:cstheme="majorHAnsi"/>
        </w:rPr>
        <w:t xml:space="preserve"> or steam injection</w:t>
      </w:r>
    </w:p>
    <w:p w14:paraId="3A0DD4F1"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POST1</w:t>
      </w:r>
      <w:r w:rsidRPr="00DC71B0">
        <w:rPr>
          <w:rFonts w:asciiTheme="majorHAnsi" w:hAnsiTheme="majorHAnsi" w:cstheme="majorHAnsi"/>
        </w:rPr>
        <w:tab/>
        <w:t>Post combustion control technique with ammonia or urea injection</w:t>
      </w:r>
    </w:p>
    <w:p w14:paraId="3FAEE849"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POST2</w:t>
      </w:r>
      <w:r w:rsidRPr="00DC71B0">
        <w:rPr>
          <w:rFonts w:asciiTheme="majorHAnsi" w:hAnsiTheme="majorHAnsi" w:cstheme="majorHAnsi"/>
        </w:rPr>
        <w:tab/>
        <w:t>Post combustion control technique with chemical reagent injection other than ammonia or urea</w:t>
      </w:r>
    </w:p>
    <w:p w14:paraId="3411FDFB" w14:textId="6036C2D3"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r>
      <w:proofErr w:type="spellStart"/>
      <w:r w:rsidRPr="00DC71B0">
        <w:rPr>
          <w:rFonts w:asciiTheme="majorHAnsi" w:hAnsiTheme="majorHAnsi" w:cstheme="majorHAnsi"/>
        </w:rPr>
        <w:t>Other</w:t>
      </w:r>
      <w:proofErr w:type="spellEnd"/>
      <w:r w:rsidRPr="00DC71B0">
        <w:rPr>
          <w:rFonts w:asciiTheme="majorHAnsi" w:hAnsiTheme="majorHAnsi" w:cstheme="majorHAnsi"/>
        </w:rPr>
        <w:t xml:space="preserve"> </w:t>
      </w:r>
      <w:r w:rsidR="00E150A2">
        <w:rPr>
          <w:rFonts w:asciiTheme="majorHAnsi" w:hAnsiTheme="majorHAnsi" w:cstheme="majorHAnsi"/>
        </w:rPr>
        <w:t>NOx reduction method</w:t>
      </w:r>
    </w:p>
    <w:p w14:paraId="31494846"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NONE</w:t>
      </w:r>
      <w:r w:rsidRPr="00DC71B0">
        <w:rPr>
          <w:rFonts w:asciiTheme="majorHAnsi" w:hAnsiTheme="majorHAnsi" w:cstheme="majorHAnsi"/>
        </w:rPr>
        <w:tab/>
        <w:t>No</w:t>
      </w:r>
      <w:r w:rsidR="00615652">
        <w:rPr>
          <w:rFonts w:asciiTheme="majorHAnsi" w:hAnsiTheme="majorHAnsi" w:cstheme="majorHAnsi"/>
        </w:rPr>
        <w:t xml:space="preserve"> NOx reduction</w:t>
      </w:r>
    </w:p>
    <w:p w14:paraId="636660D9" w14:textId="77777777" w:rsidR="00002E2D" w:rsidRPr="00DC71B0" w:rsidRDefault="00002E2D" w:rsidP="00FC08A0">
      <w:pPr>
        <w:pStyle w:val="APDBodyBOLDheader"/>
        <w:tabs>
          <w:tab w:val="left" w:pos="0"/>
        </w:tabs>
        <w:rPr>
          <w:rFonts w:asciiTheme="majorHAnsi" w:hAnsiTheme="majorHAnsi" w:cstheme="majorHAnsi"/>
        </w:rPr>
      </w:pPr>
      <w:r w:rsidRPr="00DC71B0">
        <w:rPr>
          <w:rFonts w:asciiTheme="majorHAnsi" w:hAnsiTheme="majorHAnsi" w:cstheme="majorHAnsi"/>
        </w:rPr>
        <w:t>NOx Monitoring System:</w:t>
      </w:r>
    </w:p>
    <w:p w14:paraId="699E403E" w14:textId="77777777" w:rsidR="00002E2D" w:rsidRPr="00DC71B0" w:rsidRDefault="00002E2D" w:rsidP="00FC08A0">
      <w:pPr>
        <w:pStyle w:val="APDBody"/>
        <w:tabs>
          <w:tab w:val="left" w:pos="0"/>
        </w:tabs>
        <w:rPr>
          <w:rFonts w:asciiTheme="majorHAnsi" w:hAnsiTheme="majorHAnsi" w:cstheme="majorHAnsi"/>
        </w:rPr>
      </w:pPr>
      <w:r w:rsidRPr="00DC71B0">
        <w:rPr>
          <w:rFonts w:asciiTheme="majorHAnsi" w:hAnsiTheme="majorHAnsi" w:cstheme="majorHAnsi"/>
        </w:rPr>
        <w:t>Select the appropriate code to indicate the type of monitoring used. Enter the code on the form.</w:t>
      </w:r>
    </w:p>
    <w:p w14:paraId="77137B70" w14:textId="77777777" w:rsidR="00002E2D" w:rsidRPr="00DC71B0" w:rsidRDefault="00002E2D" w:rsidP="00FC08A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units without a monitoring system:</w:t>
      </w:r>
    </w:p>
    <w:p w14:paraId="41736DA0" w14:textId="77777777" w:rsidR="003416DA" w:rsidRPr="00DC71B0" w:rsidRDefault="003416DA" w:rsidP="003E3DFC">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0441695F" w14:textId="77777777" w:rsidR="00002E2D" w:rsidRPr="00DC71B0" w:rsidRDefault="00002E2D" w:rsidP="003E3DFC">
      <w:pPr>
        <w:pStyle w:val="APDCodeList"/>
        <w:rPr>
          <w:rFonts w:asciiTheme="majorHAnsi" w:hAnsiTheme="majorHAnsi" w:cstheme="majorHAnsi"/>
        </w:rPr>
      </w:pPr>
      <w:r w:rsidRPr="00DC71B0">
        <w:rPr>
          <w:rFonts w:asciiTheme="majorHAnsi" w:hAnsiTheme="majorHAnsi" w:cstheme="majorHAnsi"/>
        </w:rPr>
        <w:t>MERT</w:t>
      </w:r>
      <w:r w:rsidRPr="00DC71B0">
        <w:rPr>
          <w:rFonts w:asciiTheme="majorHAnsi" w:hAnsiTheme="majorHAnsi" w:cstheme="majorHAnsi"/>
        </w:rPr>
        <w:tab/>
        <w:t>Maximum emission rate testing [in accordance with 30 TAC § 117.8000]</w:t>
      </w:r>
    </w:p>
    <w:p w14:paraId="5C74179C" w14:textId="77777777" w:rsidR="00002E2D" w:rsidRPr="00DC71B0" w:rsidRDefault="00002E2D" w:rsidP="00FC08A0">
      <w:pPr>
        <w:pStyle w:val="APDIndentbodyheader"/>
        <w:tabs>
          <w:tab w:val="left" w:pos="0"/>
        </w:tabs>
        <w:spacing w:before="120"/>
        <w:ind w:left="0"/>
        <w:rPr>
          <w:rFonts w:asciiTheme="majorHAnsi" w:hAnsiTheme="majorHAnsi" w:cstheme="majorHAnsi"/>
        </w:rPr>
      </w:pPr>
      <w:r w:rsidRPr="00DC71B0">
        <w:rPr>
          <w:rFonts w:asciiTheme="majorHAnsi" w:hAnsiTheme="majorHAnsi" w:cstheme="majorHAnsi"/>
        </w:rPr>
        <w:t>For all other units:</w:t>
      </w:r>
    </w:p>
    <w:p w14:paraId="6CBA9B0E" w14:textId="77777777" w:rsidR="003416DA" w:rsidRPr="00DC71B0" w:rsidRDefault="003416DA" w:rsidP="003416DA">
      <w:pPr>
        <w:pStyle w:val="APDCodeDescriptionBOLD"/>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4DDB4AB1"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CEMS</w:t>
      </w:r>
      <w:r w:rsidRPr="00DC71B0">
        <w:rPr>
          <w:rFonts w:asciiTheme="majorHAnsi" w:hAnsiTheme="majorHAnsi" w:cstheme="majorHAnsi"/>
        </w:rPr>
        <w:tab/>
        <w:t>Continuous emissions monitoring system</w:t>
      </w:r>
    </w:p>
    <w:p w14:paraId="70CD43A3"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PEMS</w:t>
      </w:r>
      <w:r w:rsidRPr="00DC71B0">
        <w:rPr>
          <w:rFonts w:asciiTheme="majorHAnsi" w:hAnsiTheme="majorHAnsi" w:cstheme="majorHAnsi"/>
        </w:rPr>
        <w:tab/>
        <w:t xml:space="preserve">Predictive emissions monitoring system </w:t>
      </w:r>
    </w:p>
    <w:p w14:paraId="0DA8AE2B"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75ARCCEMS</w:t>
      </w:r>
      <w:r w:rsidRPr="00DC71B0">
        <w:rPr>
          <w:rFonts w:asciiTheme="majorHAnsi" w:hAnsiTheme="majorHAnsi" w:cstheme="majorHAnsi"/>
        </w:rPr>
        <w:tab/>
        <w:t>Continuous emissions monitoring system, used to comply with Title 40 Code of Federal Regulations Part 75 (40 CFR Part 75) (pertaining to Acid Rain)</w:t>
      </w:r>
    </w:p>
    <w:p w14:paraId="1B2E551B" w14:textId="640D1084"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75ARPPEMS</w:t>
      </w:r>
      <w:r w:rsidRPr="00DC71B0">
        <w:rPr>
          <w:rFonts w:asciiTheme="majorHAnsi" w:hAnsiTheme="majorHAnsi" w:cstheme="majorHAnsi"/>
        </w:rPr>
        <w:tab/>
        <w:t>Predictive emissions monitoring system, used to comply with 40 CFR Part 75 (pertaining to Acid</w:t>
      </w:r>
      <w:r w:rsidR="00FC1BF9">
        <w:rPr>
          <w:rFonts w:asciiTheme="majorHAnsi" w:hAnsiTheme="majorHAnsi" w:cstheme="majorHAnsi"/>
        </w:rPr>
        <w:t> </w:t>
      </w:r>
      <w:r w:rsidRPr="00DC71B0">
        <w:rPr>
          <w:rFonts w:asciiTheme="majorHAnsi" w:hAnsiTheme="majorHAnsi" w:cstheme="majorHAnsi"/>
        </w:rPr>
        <w:t>Rain)</w:t>
      </w:r>
    </w:p>
    <w:p w14:paraId="5B83AA19" w14:textId="20BAE35B" w:rsidR="00793C3D" w:rsidRDefault="00793C3D">
      <w:pPr>
        <w:rPr>
          <w:rFonts w:asciiTheme="majorHAnsi" w:hAnsiTheme="majorHAnsi" w:cstheme="majorHAnsi"/>
        </w:rPr>
      </w:pPr>
      <w:r>
        <w:rPr>
          <w:rFonts w:asciiTheme="majorHAnsi" w:hAnsiTheme="majorHAnsi" w:cstheme="majorHAnsi"/>
        </w:rPr>
        <w:br w:type="page"/>
      </w:r>
    </w:p>
    <w:p w14:paraId="3CB0EDC1" w14:textId="77777777" w:rsidR="00002E2D" w:rsidRPr="00DC71B0" w:rsidRDefault="00002E2D" w:rsidP="00002E2D">
      <w:pPr>
        <w:pStyle w:val="APDBody"/>
        <w:pBdr>
          <w:bottom w:val="double" w:sz="6" w:space="1" w:color="auto"/>
        </w:pBdr>
        <w:rPr>
          <w:rFonts w:asciiTheme="majorHAnsi" w:hAnsiTheme="majorHAnsi" w:cstheme="majorHAnsi"/>
        </w:rPr>
      </w:pPr>
    </w:p>
    <w:bookmarkStart w:id="13" w:name="Table3b"/>
    <w:p w14:paraId="6521713F" w14:textId="31D323EE" w:rsidR="00002E2D" w:rsidRPr="00DC71B0" w:rsidRDefault="008D04A9" w:rsidP="003416DA">
      <w:pPr>
        <w:pStyle w:val="APDTable1stSpecific"/>
        <w:rPr>
          <w:rFonts w:asciiTheme="majorHAnsi" w:hAnsiTheme="majorHAnsi" w:cstheme="majorHAnsi"/>
        </w:rPr>
      </w:pPr>
      <w:r w:rsidRPr="00273CFE">
        <w:rPr>
          <w:rStyle w:val="Hyperlink"/>
        </w:rPr>
        <w:fldChar w:fldCharType="begin"/>
      </w:r>
      <w:r w:rsidR="00996CA7">
        <w:rPr>
          <w:rStyle w:val="Hyperlink"/>
        </w:rPr>
        <w:instrText>HYPERLINK  \l "TBL3b" \o "Table 3b"</w:instrText>
      </w:r>
      <w:r w:rsidRPr="00273CFE">
        <w:rPr>
          <w:rStyle w:val="Hyperlink"/>
        </w:rPr>
      </w:r>
      <w:r w:rsidRPr="00273CFE">
        <w:rPr>
          <w:rStyle w:val="Hyperlink"/>
        </w:rPr>
        <w:fldChar w:fldCharType="separate"/>
      </w:r>
      <w:r w:rsidR="00002E2D" w:rsidRPr="0036344A">
        <w:rPr>
          <w:rStyle w:val="Hyperlink"/>
        </w:rPr>
        <w:t>Table 3b</w:t>
      </w:r>
      <w:bookmarkEnd w:id="13"/>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117 (30 TAC Chapter 117), Subchapter B: Combustion Control at Major Industrial, Commercial, and Institutional Sources in Ozone Nonattainment Areas, Furnaces</w:t>
      </w:r>
    </w:p>
    <w:p w14:paraId="4F027ADE" w14:textId="77777777" w:rsidR="00002E2D" w:rsidRPr="00DC71B0" w:rsidRDefault="00002E2D" w:rsidP="003416DA">
      <w:pPr>
        <w:pStyle w:val="APDCompleteStarStyle"/>
      </w:pPr>
      <w:r w:rsidRPr="00DC71B0">
        <w:t>Complete only for sites that are major sources of NOx, as defined in 30 TAC § 117.10, and are located in the Houston/Galveston/Brazoria or Dallas/Fort Worth Eight-Hour ozone nonattainment areas.</w:t>
      </w:r>
    </w:p>
    <w:p w14:paraId="2D306F97" w14:textId="77777777" w:rsidR="00002E2D" w:rsidRPr="00DC71B0" w:rsidRDefault="00002E2D" w:rsidP="00FC08A0">
      <w:pPr>
        <w:pStyle w:val="APDItalicNOTE"/>
        <w:tabs>
          <w:tab w:val="left" w:pos="0"/>
        </w:tabs>
        <w:rPr>
          <w:rFonts w:asciiTheme="majorHAnsi" w:hAnsiTheme="majorHAnsi" w:cstheme="majorHAnsi"/>
        </w:rPr>
      </w:pPr>
      <w:r w:rsidRPr="00DC71B0">
        <w:rPr>
          <w:rFonts w:asciiTheme="majorHAnsi" w:hAnsiTheme="majorHAnsi" w:cstheme="majorHAnsi"/>
        </w:rPr>
        <w:t>Note: The Dallas/Fort Worth Eight-Hour ozone nonattainment area consists of Collin, Dallas, Denton, Ellis, Johnson, Kaufman, Parker, Rockwall, and Tarrant counties.</w:t>
      </w:r>
    </w:p>
    <w:p w14:paraId="3635BEA3" w14:textId="77777777" w:rsidR="00002E2D" w:rsidRPr="00DC71B0" w:rsidRDefault="00002E2D" w:rsidP="00FC08A0">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46DF3155" w14:textId="2FF45663" w:rsidR="00494BE2" w:rsidRDefault="00002E2D" w:rsidP="00FC08A0">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 Unit Summary).</w:t>
      </w:r>
    </w:p>
    <w:p w14:paraId="7B74539B" w14:textId="77777777" w:rsidR="00002E2D" w:rsidRPr="00DC71B0" w:rsidRDefault="00002E2D" w:rsidP="00252EF2">
      <w:pPr>
        <w:pStyle w:val="APDBodyBOLDheader"/>
        <w:tabs>
          <w:tab w:val="left" w:pos="0"/>
        </w:tabs>
        <w:rPr>
          <w:rFonts w:asciiTheme="majorHAnsi" w:hAnsiTheme="majorHAnsi" w:cstheme="majorHAnsi"/>
        </w:rPr>
      </w:pPr>
      <w:r w:rsidRPr="00DC71B0">
        <w:rPr>
          <w:rFonts w:asciiTheme="majorHAnsi" w:hAnsiTheme="majorHAnsi" w:cstheme="majorHAnsi"/>
        </w:rPr>
        <w:t>SOP Index No.:</w:t>
      </w:r>
    </w:p>
    <w:p w14:paraId="12FAC1EE" w14:textId="2DAEAACE" w:rsidR="001A38D9" w:rsidRPr="005D751F" w:rsidRDefault="00002E2D" w:rsidP="00252EF2">
      <w:pPr>
        <w:pStyle w:val="APDBody"/>
        <w:tabs>
          <w:tab w:val="left" w:pos="0"/>
        </w:tabs>
        <w:rPr>
          <w:rFonts w:asciiTheme="majorHAnsi" w:hAnsiTheme="majorHAnsi" w:cstheme="majorHAnsi"/>
        </w:rPr>
      </w:pPr>
      <w:r w:rsidRPr="00DC71B0">
        <w:rPr>
          <w:rFonts w:asciiTheme="majorHAnsi" w:hAnsiTheme="majorHAnsi" w:cstheme="majorHAnsi"/>
        </w:rPr>
        <w:t>Site operating permit (SOP) applicants should indicate the SOP index number for the unit or group of units (maximum</w:t>
      </w:r>
      <w:r w:rsidR="00FC1BF9">
        <w:rPr>
          <w:rFonts w:asciiTheme="majorHAnsi" w:hAnsiTheme="majorHAnsi" w:cstheme="majorHAnsi"/>
        </w:rPr>
        <w:t> </w:t>
      </w:r>
      <w:r w:rsidRPr="00DC71B0">
        <w:rPr>
          <w:rFonts w:asciiTheme="majorHAnsi" w:hAnsiTheme="majorHAnsi" w:cstheme="majorHAnsi"/>
        </w:rPr>
        <w:t>15</w:t>
      </w:r>
      <w:r w:rsidR="00FC1BF9">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005D751F" w:rsidRPr="005D751F">
        <w:rPr>
          <w:rFonts w:asciiTheme="majorHAnsi" w:hAnsiTheme="majorHAnsi" w:cstheme="majorHAnsi"/>
        </w:rPr>
        <w:t xml:space="preserve">For additional information relating to SOP index numbers, please see the Completing FOP Applications – Additional Guidance on the TCEQ website at </w:t>
      </w:r>
      <w:hyperlink r:id="rId16" w:tooltip="TCEQ - Completing FOP Applications - Additional Guidance" w:history="1">
        <w:r w:rsidR="005D751F" w:rsidRPr="005D751F">
          <w:rPr>
            <w:rStyle w:val="Hyperlink"/>
          </w:rPr>
          <w:t>www.tceq.texas.gov/permitting/air/guidance/titlev/tv_fop_guidance.html</w:t>
        </w:r>
      </w:hyperlink>
      <w:r w:rsidR="00E150A2" w:rsidRPr="005D751F">
        <w:rPr>
          <w:rStyle w:val="Hyperlink"/>
          <w:color w:val="auto"/>
          <w:u w:val="none"/>
        </w:rPr>
        <w:t>.</w:t>
      </w:r>
    </w:p>
    <w:p w14:paraId="38EE7278" w14:textId="77777777" w:rsidR="00002E2D" w:rsidRPr="00DC71B0" w:rsidRDefault="00002E2D" w:rsidP="00252EF2">
      <w:pPr>
        <w:pStyle w:val="APDBodyBOLDheader"/>
        <w:tabs>
          <w:tab w:val="left" w:pos="0"/>
        </w:tabs>
        <w:rPr>
          <w:rFonts w:asciiTheme="majorHAnsi" w:hAnsiTheme="majorHAnsi" w:cstheme="majorHAnsi"/>
        </w:rPr>
      </w:pPr>
      <w:r w:rsidRPr="00DC71B0">
        <w:rPr>
          <w:rFonts w:asciiTheme="majorHAnsi" w:hAnsiTheme="majorHAnsi" w:cstheme="majorHAnsi"/>
        </w:rPr>
        <w:t>Fuel Flow Monitoring:</w:t>
      </w:r>
    </w:p>
    <w:p w14:paraId="2EAA4979" w14:textId="77777777" w:rsidR="00002E2D" w:rsidRPr="00DC71B0" w:rsidRDefault="00002E2D" w:rsidP="00252EF2">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to indicate how fuel flow is monitored. Enter the code on the form.</w:t>
      </w:r>
    </w:p>
    <w:p w14:paraId="55D185AA" w14:textId="77777777" w:rsidR="003416DA" w:rsidRPr="00DC71B0" w:rsidRDefault="003416DA" w:rsidP="00032DB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6201BB60"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X40A</w:t>
      </w:r>
      <w:r w:rsidRPr="00DC71B0">
        <w:rPr>
          <w:rFonts w:asciiTheme="majorHAnsi" w:hAnsiTheme="majorHAnsi" w:cstheme="majorHAnsi"/>
        </w:rPr>
        <w:tab/>
        <w:t>Fuel flow is with a totalizing fuel flow meter per 30 TAC §§ 117.340(a) or 117.440(a)</w:t>
      </w:r>
    </w:p>
    <w:p w14:paraId="777E2BF0"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X40A2-A</w:t>
      </w:r>
      <w:r w:rsidRPr="00DC71B0">
        <w:rPr>
          <w:rFonts w:asciiTheme="majorHAnsi" w:hAnsiTheme="majorHAnsi" w:cstheme="majorHAnsi"/>
        </w:rPr>
        <w:tab/>
        <w:t>Unit operates with a NOx and diluent CEMS and monitors stack exhaust flow per 30</w:t>
      </w:r>
      <w:r w:rsidR="00032DB7">
        <w:rPr>
          <w:rFonts w:asciiTheme="majorHAnsi" w:hAnsiTheme="majorHAnsi" w:cstheme="majorHAnsi"/>
        </w:rPr>
        <w:t> </w:t>
      </w:r>
      <w:r w:rsidRPr="00DC71B0">
        <w:rPr>
          <w:rFonts w:asciiTheme="majorHAnsi" w:hAnsiTheme="majorHAnsi" w:cstheme="majorHAnsi"/>
        </w:rPr>
        <w:t>TAC</w:t>
      </w:r>
      <w:r w:rsidR="00032DB7">
        <w:rPr>
          <w:rFonts w:asciiTheme="majorHAnsi" w:hAnsiTheme="majorHAnsi" w:cstheme="majorHAnsi"/>
        </w:rPr>
        <w:t> </w:t>
      </w:r>
      <w:r w:rsidRPr="00DC71B0">
        <w:rPr>
          <w:rFonts w:asciiTheme="majorHAnsi" w:hAnsiTheme="majorHAnsi" w:cstheme="majorHAnsi"/>
        </w:rPr>
        <w:t>§§</w:t>
      </w:r>
      <w:r w:rsidR="00032DB7">
        <w:rPr>
          <w:rFonts w:asciiTheme="majorHAnsi" w:hAnsiTheme="majorHAnsi" w:cstheme="majorHAnsi"/>
        </w:rPr>
        <w:t> </w:t>
      </w:r>
      <w:r w:rsidRPr="00DC71B0">
        <w:rPr>
          <w:rFonts w:asciiTheme="majorHAnsi" w:hAnsiTheme="majorHAnsi" w:cstheme="majorHAnsi"/>
        </w:rPr>
        <w:t>117.340(a)(2)(A) or 117.440(a)(2)(A)</w:t>
      </w:r>
    </w:p>
    <w:p w14:paraId="3E687CC4" w14:textId="0B280071"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X40A2-B</w:t>
      </w:r>
      <w:r w:rsidRPr="00DC71B0">
        <w:rPr>
          <w:rFonts w:asciiTheme="majorHAnsi" w:hAnsiTheme="majorHAnsi" w:cstheme="majorHAnsi"/>
        </w:rPr>
        <w:tab/>
        <w:t>Unit vents to a common stack with a NOx and diluent CEMS and uses a single totalizing fuel flow meter per 30 TAC §§ 117.340(a)(2)(B) or 117.440(a)(2)(B)</w:t>
      </w:r>
    </w:p>
    <w:p w14:paraId="4987384E" w14:textId="77777777" w:rsidR="00002E2D" w:rsidRPr="00DC71B0" w:rsidRDefault="00002E2D" w:rsidP="00252EF2">
      <w:pPr>
        <w:pStyle w:val="APDBodyBOLDheader"/>
        <w:tabs>
          <w:tab w:val="left" w:pos="0"/>
        </w:tabs>
        <w:rPr>
          <w:rFonts w:asciiTheme="majorHAnsi" w:hAnsiTheme="majorHAnsi" w:cstheme="majorHAnsi"/>
        </w:rPr>
      </w:pPr>
      <w:r w:rsidRPr="00DC71B0">
        <w:rPr>
          <w:rFonts w:asciiTheme="majorHAnsi" w:hAnsiTheme="majorHAnsi" w:cstheme="majorHAnsi"/>
        </w:rPr>
        <w:t>CO Emission Limitation:</w:t>
      </w:r>
    </w:p>
    <w:p w14:paraId="6387DEA7" w14:textId="77777777" w:rsidR="00002E2D" w:rsidRPr="00DC71B0" w:rsidRDefault="00002E2D" w:rsidP="00252EF2">
      <w:pPr>
        <w:pStyle w:val="APDBody"/>
        <w:tabs>
          <w:tab w:val="left" w:pos="0"/>
        </w:tabs>
        <w:rPr>
          <w:rFonts w:asciiTheme="majorHAnsi" w:hAnsiTheme="majorHAnsi" w:cstheme="majorHAnsi"/>
        </w:rPr>
      </w:pPr>
      <w:r w:rsidRPr="00DC71B0">
        <w:rPr>
          <w:rFonts w:asciiTheme="majorHAnsi" w:hAnsiTheme="majorHAnsi" w:cstheme="majorHAnsi"/>
        </w:rPr>
        <w:t xml:space="preserve">Title 30 TAC Chapter 117 provides several methods to </w:t>
      </w:r>
      <w:proofErr w:type="gramStart"/>
      <w:r w:rsidRPr="00DC71B0">
        <w:rPr>
          <w:rFonts w:asciiTheme="majorHAnsi" w:hAnsiTheme="majorHAnsi" w:cstheme="majorHAnsi"/>
        </w:rPr>
        <w:t>be in compliance with</w:t>
      </w:r>
      <w:proofErr w:type="gramEnd"/>
      <w:r w:rsidRPr="00DC71B0">
        <w:rPr>
          <w:rFonts w:asciiTheme="majorHAnsi" w:hAnsiTheme="majorHAnsi" w:cstheme="majorHAnsi"/>
        </w:rPr>
        <w:t xml:space="preserve"> the applicable CO emission specifications of 30 TAC Chapter 117. Select one of the following options. Enter the code on the form.</w:t>
      </w:r>
    </w:p>
    <w:p w14:paraId="6E759018" w14:textId="77777777" w:rsidR="003416DA" w:rsidRPr="00DC71B0" w:rsidRDefault="003416DA" w:rsidP="00032DB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2F25EA59"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310C</w:t>
      </w:r>
      <w:r w:rsidRPr="00DC71B0">
        <w:rPr>
          <w:rFonts w:asciiTheme="majorHAnsi" w:hAnsiTheme="majorHAnsi" w:cstheme="majorHAnsi"/>
        </w:rPr>
        <w:tab/>
        <w:t>Title 30 TAC § 117.310(c)(1) [relating to Emission Specifications for Attainment Demonstration] (use for units in the Houston/Galveston/Brazoria ozone nonattainment area)</w:t>
      </w:r>
    </w:p>
    <w:p w14:paraId="5C9C1519" w14:textId="00A4A1BF"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410C</w:t>
      </w:r>
      <w:r w:rsidRPr="00DC71B0">
        <w:rPr>
          <w:rFonts w:asciiTheme="majorHAnsi" w:hAnsiTheme="majorHAnsi" w:cstheme="majorHAnsi"/>
        </w:rPr>
        <w:tab/>
        <w:t xml:space="preserve">Title 30 TAC § 117.410(c)(1) [relating to Emission Specifications for Attainment Demonstration] (use for </w:t>
      </w:r>
      <w:proofErr w:type="gramStart"/>
      <w:r w:rsidR="004057F2" w:rsidRPr="00DC71B0">
        <w:rPr>
          <w:rFonts w:asciiTheme="majorHAnsi" w:hAnsiTheme="majorHAnsi" w:cstheme="majorHAnsi"/>
        </w:rPr>
        <w:t>units</w:t>
      </w:r>
      <w:proofErr w:type="gramEnd"/>
      <w:r w:rsidRPr="00DC71B0">
        <w:rPr>
          <w:rFonts w:asciiTheme="majorHAnsi" w:hAnsiTheme="majorHAnsi" w:cstheme="majorHAnsi"/>
        </w:rPr>
        <w:t xml:space="preserve"> requirements in the Dallas/Fort Worth Eight-Hour ozone nonattainment area)</w:t>
      </w:r>
    </w:p>
    <w:p w14:paraId="6AE245D5"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Unit is complying with an Alternative Case Specific Specification under Title</w:t>
      </w:r>
      <w:r w:rsidR="00032DB7">
        <w:rPr>
          <w:rFonts w:asciiTheme="majorHAnsi" w:hAnsiTheme="majorHAnsi" w:cstheme="majorHAnsi"/>
        </w:rPr>
        <w:t> </w:t>
      </w:r>
      <w:r w:rsidRPr="00DC71B0">
        <w:rPr>
          <w:rFonts w:asciiTheme="majorHAnsi" w:hAnsiTheme="majorHAnsi" w:cstheme="majorHAnsi"/>
        </w:rPr>
        <w:t>30</w:t>
      </w:r>
      <w:r w:rsidR="00032DB7">
        <w:rPr>
          <w:rFonts w:asciiTheme="majorHAnsi" w:hAnsiTheme="majorHAnsi" w:cstheme="majorHAnsi"/>
        </w:rPr>
        <w:t> </w:t>
      </w:r>
      <w:r w:rsidRPr="00DC71B0">
        <w:rPr>
          <w:rFonts w:asciiTheme="majorHAnsi" w:hAnsiTheme="majorHAnsi" w:cstheme="majorHAnsi"/>
        </w:rPr>
        <w:t>TAC</w:t>
      </w:r>
      <w:r w:rsidR="00032DB7">
        <w:rPr>
          <w:rFonts w:asciiTheme="majorHAnsi" w:hAnsiTheme="majorHAnsi" w:cstheme="majorHAnsi"/>
        </w:rPr>
        <w:t> </w:t>
      </w:r>
      <w:r w:rsidRPr="00DC71B0">
        <w:rPr>
          <w:rFonts w:asciiTheme="majorHAnsi" w:hAnsiTheme="majorHAnsi" w:cstheme="majorHAnsi"/>
        </w:rPr>
        <w:t>§§</w:t>
      </w:r>
      <w:r w:rsidR="00032DB7">
        <w:rPr>
          <w:rFonts w:asciiTheme="majorHAnsi" w:hAnsiTheme="majorHAnsi" w:cstheme="majorHAnsi"/>
        </w:rPr>
        <w:t> </w:t>
      </w:r>
      <w:r w:rsidRPr="00DC71B0">
        <w:rPr>
          <w:rFonts w:asciiTheme="majorHAnsi" w:hAnsiTheme="majorHAnsi" w:cstheme="majorHAnsi"/>
        </w:rPr>
        <w:t>117.325(a) or 117.425(a)</w:t>
      </w:r>
    </w:p>
    <w:p w14:paraId="059DEFD9" w14:textId="77777777" w:rsidR="00002E2D" w:rsidRPr="00DC71B0" w:rsidRDefault="00002E2D" w:rsidP="00252EF2">
      <w:pPr>
        <w:pStyle w:val="APDBodyBOLDheader"/>
        <w:tabs>
          <w:tab w:val="left" w:pos="0"/>
        </w:tabs>
        <w:rPr>
          <w:rFonts w:asciiTheme="majorHAnsi" w:hAnsiTheme="majorHAnsi" w:cstheme="majorHAnsi"/>
        </w:rPr>
      </w:pPr>
      <w:r w:rsidRPr="00DC71B0">
        <w:rPr>
          <w:rFonts w:asciiTheme="majorHAnsi" w:hAnsiTheme="majorHAnsi" w:cstheme="majorHAnsi"/>
        </w:rPr>
        <w:t>CO Monitoring System:</w:t>
      </w:r>
    </w:p>
    <w:p w14:paraId="170707DD" w14:textId="77777777" w:rsidR="00002E2D" w:rsidRPr="00DC71B0" w:rsidRDefault="00002E2D" w:rsidP="00252EF2">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to indicate how the unit is monitored for CO exhaust emissions. Enter the code on the form.</w:t>
      </w:r>
    </w:p>
    <w:p w14:paraId="03C56D53" w14:textId="77777777" w:rsidR="003416DA" w:rsidRPr="00DC71B0" w:rsidRDefault="003416DA" w:rsidP="00032DB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47FFB9EE"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CEMS</w:t>
      </w:r>
      <w:r w:rsidRPr="00DC71B0">
        <w:rPr>
          <w:rFonts w:asciiTheme="majorHAnsi" w:hAnsiTheme="majorHAnsi" w:cstheme="majorHAnsi"/>
        </w:rPr>
        <w:tab/>
        <w:t xml:space="preserve">Continuous emissions monitoring system </w:t>
      </w:r>
    </w:p>
    <w:p w14:paraId="388CC2D1"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PEMS</w:t>
      </w:r>
      <w:r w:rsidRPr="00DC71B0">
        <w:rPr>
          <w:rFonts w:asciiTheme="majorHAnsi" w:hAnsiTheme="majorHAnsi" w:cstheme="majorHAnsi"/>
        </w:rPr>
        <w:tab/>
        <w:t>Predictive emissions monitoring system</w:t>
      </w:r>
    </w:p>
    <w:p w14:paraId="0B1AA039" w14:textId="77777777" w:rsidR="00002E2D" w:rsidRPr="00DC71B0" w:rsidRDefault="00002E2D" w:rsidP="00F94A09">
      <w:pPr>
        <w:pStyle w:val="APDCodeList"/>
        <w:spacing w:after="120"/>
        <w:rPr>
          <w:rFonts w:asciiTheme="majorHAnsi" w:hAnsiTheme="majorHAnsi" w:cstheme="majorHAnsi"/>
        </w:rPr>
      </w:pPr>
      <w:r w:rsidRPr="00DC71B0">
        <w:rPr>
          <w:rFonts w:asciiTheme="majorHAnsi" w:hAnsiTheme="majorHAnsi" w:cstheme="majorHAnsi"/>
        </w:rPr>
        <w:t>OTHER</w:t>
      </w:r>
      <w:r w:rsidRPr="00DC71B0">
        <w:rPr>
          <w:rFonts w:asciiTheme="majorHAnsi" w:hAnsiTheme="majorHAnsi" w:cstheme="majorHAnsi"/>
        </w:rPr>
        <w:tab/>
      </w:r>
      <w:proofErr w:type="spellStart"/>
      <w:r w:rsidRPr="00DC71B0">
        <w:rPr>
          <w:rFonts w:asciiTheme="majorHAnsi" w:hAnsiTheme="majorHAnsi" w:cstheme="majorHAnsi"/>
        </w:rPr>
        <w:t>Other</w:t>
      </w:r>
      <w:proofErr w:type="spellEnd"/>
      <w:r w:rsidRPr="00DC71B0">
        <w:rPr>
          <w:rFonts w:asciiTheme="majorHAnsi" w:hAnsiTheme="majorHAnsi" w:cstheme="majorHAnsi"/>
        </w:rPr>
        <w:t xml:space="preserve"> than CEMS or PEMS</w:t>
      </w:r>
    </w:p>
    <w:p w14:paraId="17816B73" w14:textId="77777777" w:rsidR="00002E2D" w:rsidRPr="00DC71B0" w:rsidRDefault="00002E2D" w:rsidP="00F94A09">
      <w:pPr>
        <w:pStyle w:val="APDContinueTriangleStyleList"/>
        <w:spacing w:before="0"/>
        <w:rPr>
          <w:rFonts w:asciiTheme="majorHAnsi" w:hAnsiTheme="majorHAnsi" w:cstheme="majorHAnsi"/>
        </w:rPr>
      </w:pPr>
      <w:r w:rsidRPr="00DC71B0">
        <w:rPr>
          <w:rFonts w:asciiTheme="majorHAnsi" w:hAnsiTheme="majorHAnsi" w:cstheme="majorHAnsi"/>
        </w:rPr>
        <w:t>Continue only if “NOx Reduction” is “POST1.”</w:t>
      </w:r>
    </w:p>
    <w:p w14:paraId="5B03CBDB" w14:textId="77777777" w:rsidR="00002E2D" w:rsidRPr="00DC71B0" w:rsidRDefault="00002E2D" w:rsidP="00252EF2">
      <w:pPr>
        <w:pStyle w:val="APDBodyBOLDheader"/>
        <w:tabs>
          <w:tab w:val="left" w:pos="0"/>
        </w:tabs>
        <w:rPr>
          <w:rFonts w:asciiTheme="majorHAnsi" w:hAnsiTheme="majorHAnsi" w:cstheme="majorHAnsi"/>
        </w:rPr>
      </w:pPr>
      <w:r w:rsidRPr="00DC71B0">
        <w:rPr>
          <w:rFonts w:asciiTheme="majorHAnsi" w:hAnsiTheme="majorHAnsi" w:cstheme="majorHAnsi"/>
        </w:rPr>
        <w:t>NH3 Emission Limitation:</w:t>
      </w:r>
    </w:p>
    <w:p w14:paraId="3BB0696D" w14:textId="77777777" w:rsidR="00002E2D" w:rsidRPr="00DC71B0" w:rsidRDefault="00002E2D" w:rsidP="00252EF2">
      <w:pPr>
        <w:pStyle w:val="APDBody"/>
        <w:tabs>
          <w:tab w:val="left" w:pos="0"/>
        </w:tabs>
        <w:rPr>
          <w:rFonts w:asciiTheme="majorHAnsi" w:hAnsiTheme="majorHAnsi" w:cstheme="majorHAnsi"/>
        </w:rPr>
      </w:pPr>
      <w:r w:rsidRPr="00DC71B0">
        <w:rPr>
          <w:rFonts w:asciiTheme="majorHAnsi" w:hAnsiTheme="majorHAnsi" w:cstheme="majorHAnsi"/>
        </w:rPr>
        <w:t xml:space="preserve">Title 30 TAC Chapter 117 provides several methods to </w:t>
      </w:r>
      <w:proofErr w:type="gramStart"/>
      <w:r w:rsidRPr="00DC71B0">
        <w:rPr>
          <w:rFonts w:asciiTheme="majorHAnsi" w:hAnsiTheme="majorHAnsi" w:cstheme="majorHAnsi"/>
        </w:rPr>
        <w:t>be in compliance with</w:t>
      </w:r>
      <w:proofErr w:type="gramEnd"/>
      <w:r w:rsidRPr="00DC71B0">
        <w:rPr>
          <w:rFonts w:asciiTheme="majorHAnsi" w:hAnsiTheme="majorHAnsi" w:cstheme="majorHAnsi"/>
        </w:rPr>
        <w:t xml:space="preserve"> the applicable NH3 emission specifications of 30 TAC Chapter 117. Select one of the following options. Enter the code on the form.</w:t>
      </w:r>
    </w:p>
    <w:p w14:paraId="79C93E68" w14:textId="77777777" w:rsidR="003416DA" w:rsidRPr="00DC71B0" w:rsidRDefault="003416DA" w:rsidP="00032DB7">
      <w:pPr>
        <w:pStyle w:val="APDCodeDescriptionBOLD"/>
        <w:ind w:left="2160" w:hanging="1440"/>
        <w:rPr>
          <w:rFonts w:asciiTheme="majorHAnsi" w:hAnsiTheme="majorHAnsi" w:cstheme="majorHAnsi"/>
        </w:rPr>
      </w:pPr>
      <w:r w:rsidRPr="00DC71B0">
        <w:rPr>
          <w:rFonts w:asciiTheme="majorHAnsi" w:hAnsiTheme="majorHAnsi" w:cstheme="majorHAnsi"/>
        </w:rPr>
        <w:lastRenderedPageBreak/>
        <w:t>Code</w:t>
      </w:r>
      <w:r w:rsidRPr="00DC71B0">
        <w:rPr>
          <w:rFonts w:asciiTheme="majorHAnsi" w:hAnsiTheme="majorHAnsi" w:cstheme="majorHAnsi"/>
        </w:rPr>
        <w:tab/>
        <w:t>Description</w:t>
      </w:r>
    </w:p>
    <w:p w14:paraId="386C0462"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310C</w:t>
      </w:r>
      <w:r w:rsidRPr="00DC71B0">
        <w:rPr>
          <w:rFonts w:asciiTheme="majorHAnsi" w:hAnsiTheme="majorHAnsi" w:cstheme="majorHAnsi"/>
        </w:rPr>
        <w:tab/>
        <w:t>Title 30 TAC § 117.310(c)(2) [relating to Emission Specifications for Attainment Demonstration]</w:t>
      </w:r>
    </w:p>
    <w:p w14:paraId="22F0ECF5"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410C</w:t>
      </w:r>
      <w:r w:rsidRPr="00DC71B0">
        <w:rPr>
          <w:rFonts w:asciiTheme="majorHAnsi" w:hAnsiTheme="majorHAnsi" w:cstheme="majorHAnsi"/>
        </w:rPr>
        <w:tab/>
        <w:t>Title 30 TAC § 117.410(c)(2) [relating to Emission Specifications for Attainment Demonstration]</w:t>
      </w:r>
    </w:p>
    <w:p w14:paraId="0FBF462D" w14:textId="77777777" w:rsidR="00002E2D" w:rsidRPr="00DC71B0" w:rsidRDefault="00002E2D" w:rsidP="003416DA">
      <w:pPr>
        <w:pStyle w:val="APDCodeList"/>
        <w:rPr>
          <w:rFonts w:asciiTheme="majorHAnsi" w:hAnsiTheme="majorHAnsi" w:cstheme="majorHAnsi"/>
        </w:rPr>
      </w:pPr>
      <w:r w:rsidRPr="00DC71B0">
        <w:rPr>
          <w:rFonts w:asciiTheme="majorHAnsi" w:hAnsiTheme="majorHAnsi" w:cstheme="majorHAnsi"/>
        </w:rPr>
        <w:t>ACSS</w:t>
      </w:r>
      <w:r w:rsidRPr="00DC71B0">
        <w:rPr>
          <w:rFonts w:asciiTheme="majorHAnsi" w:hAnsiTheme="majorHAnsi" w:cstheme="majorHAnsi"/>
        </w:rPr>
        <w:tab/>
        <w:t xml:space="preserve">Unit is complying with an Alternative Case Specific Specification under </w:t>
      </w:r>
      <w:r w:rsidR="00BA02CB" w:rsidRPr="00DC71B0">
        <w:rPr>
          <w:rFonts w:asciiTheme="majorHAnsi" w:hAnsiTheme="majorHAnsi" w:cstheme="majorHAnsi"/>
        </w:rPr>
        <w:br/>
      </w:r>
      <w:r w:rsidRPr="00DC71B0">
        <w:rPr>
          <w:rFonts w:asciiTheme="majorHAnsi" w:hAnsiTheme="majorHAnsi" w:cstheme="majorHAnsi"/>
        </w:rPr>
        <w:t>Title 30 TAC §§ 117.325 or 117.425</w:t>
      </w:r>
    </w:p>
    <w:p w14:paraId="37F3F7A7" w14:textId="77777777" w:rsidR="00002E2D" w:rsidRPr="00DC71B0" w:rsidRDefault="00002E2D" w:rsidP="00252EF2">
      <w:pPr>
        <w:pStyle w:val="APDBodyBOLDheader"/>
        <w:tabs>
          <w:tab w:val="left" w:pos="0"/>
        </w:tabs>
        <w:rPr>
          <w:rFonts w:asciiTheme="majorHAnsi" w:hAnsiTheme="majorHAnsi" w:cstheme="majorHAnsi"/>
        </w:rPr>
      </w:pPr>
      <w:r w:rsidRPr="00DC71B0">
        <w:rPr>
          <w:rFonts w:asciiTheme="majorHAnsi" w:hAnsiTheme="majorHAnsi" w:cstheme="majorHAnsi"/>
        </w:rPr>
        <w:t>NH3 Monitoring:</w:t>
      </w:r>
    </w:p>
    <w:p w14:paraId="25708A33" w14:textId="77777777" w:rsidR="00002E2D" w:rsidRPr="00DC71B0" w:rsidRDefault="00002E2D" w:rsidP="00252EF2">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to indicate how the unit is monitored for NH3 emissions. Enter the code on the form.</w:t>
      </w:r>
    </w:p>
    <w:p w14:paraId="697299C5" w14:textId="77777777" w:rsidR="00002E2D" w:rsidRPr="000D5197" w:rsidRDefault="00002E2D" w:rsidP="00032DB7">
      <w:pPr>
        <w:pStyle w:val="APDCodeList"/>
        <w:rPr>
          <w:rFonts w:asciiTheme="majorHAnsi" w:hAnsiTheme="majorHAnsi" w:cstheme="majorHAnsi"/>
          <w:b/>
          <w:bCs/>
        </w:rPr>
      </w:pPr>
      <w:r w:rsidRPr="000D5197">
        <w:rPr>
          <w:rFonts w:asciiTheme="majorHAnsi" w:hAnsiTheme="majorHAnsi" w:cstheme="majorHAnsi"/>
          <w:b/>
          <w:bCs/>
        </w:rPr>
        <w:t>Code</w:t>
      </w:r>
      <w:r w:rsidRPr="000D5197">
        <w:rPr>
          <w:rFonts w:asciiTheme="majorHAnsi" w:hAnsiTheme="majorHAnsi" w:cstheme="majorHAnsi"/>
          <w:b/>
          <w:bCs/>
        </w:rPr>
        <w:tab/>
        <w:t>Description</w:t>
      </w:r>
    </w:p>
    <w:p w14:paraId="6C821333"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CEMS</w:t>
      </w:r>
      <w:r w:rsidRPr="00DC71B0">
        <w:rPr>
          <w:rFonts w:asciiTheme="majorHAnsi" w:hAnsiTheme="majorHAnsi" w:cstheme="majorHAnsi"/>
        </w:rPr>
        <w:tab/>
        <w:t>Continuous emissions monitoring system</w:t>
      </w:r>
    </w:p>
    <w:p w14:paraId="5527764D"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PEMS</w:t>
      </w:r>
      <w:r w:rsidRPr="00DC71B0">
        <w:rPr>
          <w:rFonts w:asciiTheme="majorHAnsi" w:hAnsiTheme="majorHAnsi" w:cstheme="majorHAnsi"/>
        </w:rPr>
        <w:tab/>
        <w:t>Predictive emissions monitoring system</w:t>
      </w:r>
    </w:p>
    <w:p w14:paraId="65F23BAA"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MBAL</w:t>
      </w:r>
      <w:r w:rsidRPr="00DC71B0">
        <w:rPr>
          <w:rFonts w:asciiTheme="majorHAnsi" w:hAnsiTheme="majorHAnsi" w:cstheme="majorHAnsi"/>
        </w:rPr>
        <w:tab/>
        <w:t xml:space="preserve">Mass balance </w:t>
      </w:r>
    </w:p>
    <w:p w14:paraId="18E7E4D7"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OXY</w:t>
      </w:r>
      <w:r w:rsidRPr="00DC71B0">
        <w:rPr>
          <w:rFonts w:asciiTheme="majorHAnsi" w:hAnsiTheme="majorHAnsi" w:cstheme="majorHAnsi"/>
        </w:rPr>
        <w:tab/>
        <w:t>Oxidation of ammonia to nitric oxide (NO)</w:t>
      </w:r>
    </w:p>
    <w:p w14:paraId="0751540A" w14:textId="284CE4B4" w:rsidR="001A38D9" w:rsidRDefault="00002E2D" w:rsidP="00273CFE">
      <w:pPr>
        <w:pStyle w:val="APDCodeList"/>
        <w:spacing w:after="120"/>
      </w:pPr>
      <w:r w:rsidRPr="00DC71B0">
        <w:rPr>
          <w:rFonts w:asciiTheme="majorHAnsi" w:hAnsiTheme="majorHAnsi" w:cstheme="majorHAnsi"/>
        </w:rPr>
        <w:t>STUBE</w:t>
      </w:r>
      <w:r w:rsidRPr="00DC71B0">
        <w:rPr>
          <w:rFonts w:asciiTheme="majorHAnsi" w:hAnsiTheme="majorHAnsi" w:cstheme="majorHAnsi"/>
        </w:rPr>
        <w:tab/>
        <w:t>Stain tube</w:t>
      </w:r>
    </w:p>
    <w:p w14:paraId="5611BD40" w14:textId="77777777" w:rsidR="00002E2D" w:rsidRPr="00DC71B0" w:rsidRDefault="00002E2D" w:rsidP="00002E2D">
      <w:pPr>
        <w:pStyle w:val="APDBody"/>
        <w:pBdr>
          <w:bottom w:val="double" w:sz="6" w:space="1" w:color="auto"/>
        </w:pBdr>
        <w:rPr>
          <w:rFonts w:asciiTheme="majorHAnsi" w:hAnsiTheme="majorHAnsi" w:cstheme="majorHAnsi"/>
        </w:rPr>
      </w:pPr>
    </w:p>
    <w:bookmarkStart w:id="14" w:name="Table4"/>
    <w:p w14:paraId="0196343E" w14:textId="4C7ADBB8" w:rsidR="00002E2D" w:rsidRPr="00DC71B0" w:rsidRDefault="008D04A9" w:rsidP="003416DA">
      <w:pPr>
        <w:pStyle w:val="APDTable1stSpecific"/>
        <w:rPr>
          <w:rFonts w:asciiTheme="majorHAnsi" w:hAnsiTheme="majorHAnsi" w:cstheme="majorHAnsi"/>
        </w:rPr>
      </w:pPr>
      <w:r w:rsidRPr="00273CFE">
        <w:rPr>
          <w:rStyle w:val="Hyperlink"/>
        </w:rPr>
        <w:fldChar w:fldCharType="begin"/>
      </w:r>
      <w:r w:rsidR="00996CA7">
        <w:rPr>
          <w:rStyle w:val="Hyperlink"/>
        </w:rPr>
        <w:instrText>HYPERLINK  \l "TBL4" \o "Table 4"</w:instrText>
      </w:r>
      <w:r w:rsidRPr="00273CFE">
        <w:rPr>
          <w:rStyle w:val="Hyperlink"/>
        </w:rPr>
      </w:r>
      <w:r w:rsidRPr="00273CFE">
        <w:rPr>
          <w:rStyle w:val="Hyperlink"/>
        </w:rPr>
        <w:fldChar w:fldCharType="separate"/>
      </w:r>
      <w:r w:rsidR="00002E2D" w:rsidRPr="0036344A">
        <w:rPr>
          <w:rStyle w:val="Hyperlink"/>
        </w:rPr>
        <w:t>Table 4</w:t>
      </w:r>
      <w:bookmarkEnd w:id="14"/>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30 Texas Administrative Code Chapter 111 (30 TAC Chapter 111), Subchapter A, Division 2: Incineration</w:t>
      </w:r>
    </w:p>
    <w:p w14:paraId="7A5EE8E4"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26195FC7" w14:textId="2DB2C5A8"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w:t>
      </w:r>
      <w:r w:rsidR="00793C3D">
        <w:rPr>
          <w:rFonts w:asciiTheme="majorHAnsi" w:hAnsiTheme="majorHAnsi" w:cstheme="majorHAnsi"/>
        </w:rPr>
        <w:t> </w:t>
      </w:r>
      <w:r w:rsidRPr="00DC71B0">
        <w:rPr>
          <w:rFonts w:asciiTheme="majorHAnsi" w:hAnsiTheme="majorHAnsi" w:cstheme="majorHAnsi"/>
        </w:rPr>
        <w:t>Unit Summary).</w:t>
      </w:r>
    </w:p>
    <w:p w14:paraId="367C185B"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SOP/GOP Index No.:</w:t>
      </w:r>
    </w:p>
    <w:p w14:paraId="51BF2456" w14:textId="2695BE04"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Site operating permit (SOP) applicants should indicate the SOP index number for the unit or group of units (maximum</w:t>
      </w:r>
      <w:r w:rsidR="00032DB7">
        <w:rPr>
          <w:rFonts w:asciiTheme="majorHAnsi" w:hAnsiTheme="majorHAnsi" w:cstheme="majorHAnsi"/>
        </w:rPr>
        <w:t> </w:t>
      </w:r>
      <w:r w:rsidRPr="00DC71B0">
        <w:rPr>
          <w:rFonts w:asciiTheme="majorHAnsi" w:hAnsiTheme="majorHAnsi" w:cstheme="majorHAnsi"/>
        </w:rPr>
        <w:t>15</w:t>
      </w:r>
      <w:r w:rsidR="00032DB7">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00CB37D0" w:rsidRPr="00DC71B0">
        <w:rPr>
          <w:rFonts w:asciiTheme="majorHAnsi" w:hAnsiTheme="majorHAnsi" w:cstheme="majorHAnsi"/>
        </w:rPr>
        <w:t>General operating permit (GOP) applicants should indicate the appropriate GOP index number in this column from the applicable GOP table (SSS-FF-XXX). Applicants should</w:t>
      </w:r>
      <w:r w:rsidR="00CB37D0">
        <w:rPr>
          <w:rFonts w:asciiTheme="majorHAnsi" w:hAnsiTheme="majorHAnsi" w:cstheme="majorHAnsi"/>
        </w:rPr>
        <w:t xml:space="preserve"> c</w:t>
      </w:r>
      <w:r w:rsidR="00CB37D0" w:rsidRPr="00DC71B0">
        <w:rPr>
          <w:rFonts w:asciiTheme="majorHAnsi" w:hAnsiTheme="majorHAnsi" w:cstheme="majorHAnsi"/>
        </w:rPr>
        <w:t>omplete all applicable GOP attribute information before determining the GOP index number.</w:t>
      </w:r>
      <w:r w:rsidR="004822FF" w:rsidRPr="004822FF">
        <w:t xml:space="preserve"> </w:t>
      </w:r>
      <w:r w:rsidR="004822FF" w:rsidRPr="00436B50">
        <w:t xml:space="preserve">For additional information relating to SOP and GOP index numbers, please see the Completing FOP Applications – Additional Guidance on the TCEQ website at </w:t>
      </w:r>
      <w:hyperlink r:id="rId17" w:tooltip="TCEQ - Completing FOP Applications - Additional Guidance" w:history="1">
        <w:r w:rsidR="004822FF" w:rsidRPr="00273CFE">
          <w:rPr>
            <w:rStyle w:val="Hyperlink"/>
          </w:rPr>
          <w:t>www.tceq.texas.gov/permitting/air/guidance/titlev/tv_fop_guidance.html</w:t>
        </w:r>
      </w:hyperlink>
      <w:r w:rsidR="004822FF" w:rsidRPr="00793C3D">
        <w:rPr>
          <w:rStyle w:val="Hyperlink"/>
          <w:color w:val="auto"/>
          <w:u w:val="none"/>
        </w:rPr>
        <w:t>.</w:t>
      </w:r>
    </w:p>
    <w:p w14:paraId="2CE1E9CF"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Hazardous Waste:</w:t>
      </w:r>
    </w:p>
    <w:p w14:paraId="71D3799F"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“YES” if the unit combusts hazardous waste as a fuel for energy recovery and the facility accepts hazardous waste as a fuel from off-site sources which involves a commercial transaction or a change of ownership of the waste and the facility is not regulated at 40 CFR Part 264 or 265, Subpart O. Otherwise, enter “NO”.</w:t>
      </w:r>
    </w:p>
    <w:p w14:paraId="58EDB748" w14:textId="77777777" w:rsidR="00002E2D" w:rsidRPr="00DC71B0" w:rsidRDefault="00002E2D" w:rsidP="003416DA">
      <w:pPr>
        <w:pStyle w:val="APDContinueTriangleStyleList"/>
        <w:rPr>
          <w:rFonts w:asciiTheme="majorHAnsi" w:hAnsiTheme="majorHAnsi" w:cstheme="majorHAnsi"/>
        </w:rPr>
      </w:pPr>
      <w:r w:rsidRPr="00DC71B0">
        <w:rPr>
          <w:rFonts w:asciiTheme="majorHAnsi" w:hAnsiTheme="majorHAnsi" w:cstheme="majorHAnsi"/>
        </w:rPr>
        <w:t>Continue only if “Hazardous Waste” is “YES.”</w:t>
      </w:r>
    </w:p>
    <w:p w14:paraId="329D1C00"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Monitor:</w:t>
      </w:r>
    </w:p>
    <w:p w14:paraId="5047F37B" w14:textId="77777777" w:rsidR="00E97239"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“YES” if the unit has a continuous opacity or carbon monoxide monitor (or equivalent). Otherwise, enter “NO.”</w:t>
      </w:r>
    </w:p>
    <w:p w14:paraId="73549A76" w14:textId="6A9DDAD4" w:rsidR="00793C3D" w:rsidRDefault="00793C3D">
      <w:pPr>
        <w:rPr>
          <w:rFonts w:asciiTheme="majorHAnsi" w:hAnsiTheme="majorHAnsi" w:cstheme="majorHAnsi"/>
        </w:rPr>
      </w:pPr>
      <w:r>
        <w:rPr>
          <w:rFonts w:asciiTheme="majorHAnsi" w:hAnsiTheme="majorHAnsi" w:cstheme="majorHAnsi"/>
        </w:rPr>
        <w:br w:type="page"/>
      </w:r>
    </w:p>
    <w:p w14:paraId="44E0EF6D" w14:textId="77777777" w:rsidR="00002E2D" w:rsidRPr="00DC71B0" w:rsidRDefault="00002E2D" w:rsidP="00002E2D">
      <w:pPr>
        <w:pStyle w:val="APDBody"/>
        <w:pBdr>
          <w:bottom w:val="double" w:sz="6" w:space="1" w:color="auto"/>
        </w:pBdr>
        <w:rPr>
          <w:rFonts w:asciiTheme="majorHAnsi" w:hAnsiTheme="majorHAnsi" w:cstheme="majorHAnsi"/>
        </w:rPr>
      </w:pPr>
    </w:p>
    <w:bookmarkStart w:id="15" w:name="Table5a"/>
    <w:p w14:paraId="0FB68679" w14:textId="680D3EBB" w:rsidR="00002E2D" w:rsidRPr="00DC71B0" w:rsidRDefault="008D04A9" w:rsidP="003416DA">
      <w:pPr>
        <w:pStyle w:val="APDTable1stSpecific"/>
        <w:rPr>
          <w:rFonts w:asciiTheme="majorHAnsi" w:hAnsiTheme="majorHAnsi" w:cstheme="majorHAnsi"/>
        </w:rPr>
      </w:pPr>
      <w:r w:rsidRPr="00273CFE">
        <w:rPr>
          <w:rStyle w:val="Hyperlink"/>
        </w:rPr>
        <w:fldChar w:fldCharType="begin"/>
      </w:r>
      <w:r w:rsidR="00765060">
        <w:rPr>
          <w:rStyle w:val="Hyperlink"/>
        </w:rPr>
        <w:instrText>HYPERLINK  \l "TBL5a" \o "Table 5a"</w:instrText>
      </w:r>
      <w:r w:rsidRPr="00273CFE">
        <w:rPr>
          <w:rStyle w:val="Hyperlink"/>
        </w:rPr>
      </w:r>
      <w:r w:rsidRPr="00273CFE">
        <w:rPr>
          <w:rStyle w:val="Hyperlink"/>
        </w:rPr>
        <w:fldChar w:fldCharType="separate"/>
      </w:r>
      <w:r w:rsidR="00002E2D" w:rsidRPr="0036344A">
        <w:rPr>
          <w:rStyle w:val="Hyperlink"/>
        </w:rPr>
        <w:t>Table 5a</w:t>
      </w:r>
      <w:bookmarkEnd w:id="15"/>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40 Code of Federal Regulations Part 63 (40 CFR Part 63), Subpart EEE: Hazardous Waste Combustors</w:t>
      </w:r>
    </w:p>
    <w:p w14:paraId="68518F1F" w14:textId="77777777" w:rsidR="00002E2D" w:rsidRPr="00DC71B0" w:rsidRDefault="00002E2D" w:rsidP="00787A02">
      <w:pPr>
        <w:pStyle w:val="APDCompleteStarStyle"/>
      </w:pPr>
      <w:r w:rsidRPr="00DC71B0">
        <w:t>Complete this table for HCl production furnaces that burn hazardous waste, and are located at an area source or a major source, and do not meet the criteria in Table 1 of § 63.1200(b)</w:t>
      </w:r>
    </w:p>
    <w:p w14:paraId="1BEC76D3"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599738F8"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 Unit Summary).</w:t>
      </w:r>
    </w:p>
    <w:p w14:paraId="19716467"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SOP Index No.:</w:t>
      </w:r>
    </w:p>
    <w:p w14:paraId="7E7955AB" w14:textId="5AAF72F4" w:rsidR="00CE700E" w:rsidRPr="00CE700E" w:rsidRDefault="00002E2D" w:rsidP="00D647BE">
      <w:pPr>
        <w:pStyle w:val="BodyText"/>
        <w:tabs>
          <w:tab w:val="left" w:pos="0"/>
        </w:tabs>
        <w:rPr>
          <w:rFonts w:cs="Times New Roman"/>
        </w:rPr>
      </w:pPr>
      <w:r w:rsidRPr="00DC71B0">
        <w:rPr>
          <w:rFonts w:asciiTheme="majorHAnsi" w:hAnsiTheme="majorHAnsi" w:cstheme="majorHAnsi"/>
        </w:rPr>
        <w:t>Site operating permit (SOP) applicants should indicate the SOP index number for the unit or group of units (maximum</w:t>
      </w:r>
      <w:r w:rsidR="00FC1BF9">
        <w:rPr>
          <w:rFonts w:asciiTheme="majorHAnsi" w:hAnsiTheme="majorHAnsi" w:cstheme="majorHAnsi"/>
        </w:rPr>
        <w:t> </w:t>
      </w:r>
      <w:r w:rsidRPr="00DC71B0">
        <w:rPr>
          <w:rFonts w:asciiTheme="majorHAnsi" w:hAnsiTheme="majorHAnsi" w:cstheme="majorHAnsi"/>
        </w:rPr>
        <w:t>15</w:t>
      </w:r>
      <w:r w:rsidR="00FC1BF9">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00CE700E" w:rsidRPr="00EF0801">
        <w:t xml:space="preserve">For additional information relating to SOP index numbers, please </w:t>
      </w:r>
      <w:r w:rsidR="00CE700E">
        <w:t xml:space="preserve">see the Completing FOP Applications – Additional Guidance on the </w:t>
      </w:r>
      <w:r w:rsidR="00CE700E" w:rsidRPr="00EF0801">
        <w:t xml:space="preserve">TCEQ website at </w:t>
      </w:r>
      <w:hyperlink r:id="rId18" w:tooltip="TCEQ - Completing FOP Applications - Additional Guidance" w:history="1">
        <w:r w:rsidR="00CE700E" w:rsidRPr="009D4860">
          <w:rPr>
            <w:rStyle w:val="Hyperlink"/>
          </w:rPr>
          <w:t>www.tceq.texas.gov/permitting/air/guidance/titlev/tv_fop_guidance.html</w:t>
        </w:r>
      </w:hyperlink>
      <w:r w:rsidR="00CE700E" w:rsidRPr="00793C3D">
        <w:rPr>
          <w:rStyle w:val="Hyperlink"/>
          <w:u w:val="none"/>
        </w:rPr>
        <w:t>.</w:t>
      </w:r>
    </w:p>
    <w:p w14:paraId="701AEC2B"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Existing Source:</w:t>
      </w:r>
    </w:p>
    <w:p w14:paraId="53E3262E"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 xml:space="preserve">Enter “YES” if the furnace is an existing source (construction or reconstruction commenced on or before April 20, 2004). Otherwise, enter “NO.” </w:t>
      </w:r>
    </w:p>
    <w:p w14:paraId="4C3C9697"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Area Source:</w:t>
      </w:r>
    </w:p>
    <w:p w14:paraId="4B69FD91"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“YES” if the furnace is an area source as defined under § 63.2. Otherwise, enter “NO.”</w:t>
      </w:r>
    </w:p>
    <w:p w14:paraId="3C316DEE" w14:textId="77777777" w:rsidR="00002E2D" w:rsidRPr="00DC71B0" w:rsidRDefault="00002E2D" w:rsidP="00D647BE">
      <w:pPr>
        <w:pStyle w:val="APDCompleteStarStyle"/>
      </w:pPr>
      <w:r w:rsidRPr="00DC71B0">
        <w:t>Complete “Elective Standards” only if “Area Source” is “YES.”</w:t>
      </w:r>
    </w:p>
    <w:p w14:paraId="4F531D86"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Elective Standards:</w:t>
      </w:r>
    </w:p>
    <w:p w14:paraId="42A08442"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“YES” if the area source is electing to comply with § 63.1218 per § 266.100(b)(3). Otherwise, enter “NO.”</w:t>
      </w:r>
    </w:p>
    <w:p w14:paraId="1E0CE6B7"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DIOXIN/FURAN Standard:</w:t>
      </w:r>
    </w:p>
    <w:p w14:paraId="6FFBBBAA"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Enter the code on the form.</w:t>
      </w:r>
    </w:p>
    <w:p w14:paraId="275B6A03" w14:textId="77777777" w:rsidR="00416FC5" w:rsidRPr="00DC71B0" w:rsidRDefault="00416FC5" w:rsidP="00032DB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8FEB54D"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CO-1</w:t>
      </w:r>
      <w:r w:rsidRPr="00DC71B0">
        <w:rPr>
          <w:rFonts w:asciiTheme="majorHAnsi" w:hAnsiTheme="majorHAnsi" w:cstheme="majorHAnsi"/>
        </w:rPr>
        <w:tab/>
        <w:t>Complying with the CO standard in § 63.1218(a)(1) or (b)(1)</w:t>
      </w:r>
    </w:p>
    <w:p w14:paraId="5E7E3E5C"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THC-1</w:t>
      </w:r>
      <w:r w:rsidRPr="00DC71B0">
        <w:rPr>
          <w:rFonts w:asciiTheme="majorHAnsi" w:hAnsiTheme="majorHAnsi" w:cstheme="majorHAnsi"/>
        </w:rPr>
        <w:tab/>
        <w:t>Complying with the THC standard in § 63.1218(a)(1) or (b)(1)</w:t>
      </w:r>
    </w:p>
    <w:p w14:paraId="2C2B4523"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CO/THC Standard:</w:t>
      </w:r>
    </w:p>
    <w:p w14:paraId="130810E8"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Enter the code on the form.</w:t>
      </w:r>
    </w:p>
    <w:p w14:paraId="377D48CF" w14:textId="77777777" w:rsidR="00416FC5" w:rsidRPr="00DC71B0" w:rsidRDefault="00416FC5" w:rsidP="00032DB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5C5EED56"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CO-5</w:t>
      </w:r>
      <w:r w:rsidRPr="00DC71B0">
        <w:rPr>
          <w:rFonts w:asciiTheme="majorHAnsi" w:hAnsiTheme="majorHAnsi" w:cstheme="majorHAnsi"/>
        </w:rPr>
        <w:tab/>
        <w:t>Complying with the CO standard in § 63.1218(a)(5)(i) or (b)(5)(i)</w:t>
      </w:r>
    </w:p>
    <w:p w14:paraId="40C3E8AA"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THC-5</w:t>
      </w:r>
      <w:r w:rsidRPr="00DC71B0">
        <w:rPr>
          <w:rFonts w:asciiTheme="majorHAnsi" w:hAnsiTheme="majorHAnsi" w:cstheme="majorHAnsi"/>
        </w:rPr>
        <w:tab/>
        <w:t>Complying with the THC standard in § 63.1218(a)(5)(ii) or (b)(5)(ii)</w:t>
      </w:r>
    </w:p>
    <w:p w14:paraId="36C1953B"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TOT-Cl Standard:</w:t>
      </w:r>
    </w:p>
    <w:p w14:paraId="3B86B93F"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Select one of the following options. Enter the code on the form.</w:t>
      </w:r>
    </w:p>
    <w:p w14:paraId="3A7D844C" w14:textId="77777777" w:rsidR="00416FC5" w:rsidRPr="00DC71B0" w:rsidRDefault="00416FC5" w:rsidP="00032DB7">
      <w:pPr>
        <w:pStyle w:val="APDCodeDescriptionBOLD"/>
        <w:ind w:left="2160" w:hanging="1440"/>
        <w:rPr>
          <w:rFonts w:asciiTheme="majorHAnsi" w:hAnsiTheme="majorHAnsi" w:cstheme="majorHAnsi"/>
        </w:rPr>
      </w:pPr>
      <w:r w:rsidRPr="00DC71B0">
        <w:rPr>
          <w:rFonts w:asciiTheme="majorHAnsi" w:hAnsiTheme="majorHAnsi" w:cstheme="majorHAnsi"/>
        </w:rPr>
        <w:t>Code</w:t>
      </w:r>
      <w:r w:rsidRPr="00DC71B0">
        <w:rPr>
          <w:rFonts w:asciiTheme="majorHAnsi" w:hAnsiTheme="majorHAnsi" w:cstheme="majorHAnsi"/>
        </w:rPr>
        <w:tab/>
        <w:t>Description</w:t>
      </w:r>
    </w:p>
    <w:p w14:paraId="7C492C5A"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PPMV-6</w:t>
      </w:r>
      <w:r w:rsidRPr="00DC71B0">
        <w:rPr>
          <w:rFonts w:asciiTheme="majorHAnsi" w:hAnsiTheme="majorHAnsi" w:cstheme="majorHAnsi"/>
        </w:rPr>
        <w:tab/>
        <w:t xml:space="preserve">Complying with the 25 </w:t>
      </w:r>
      <w:proofErr w:type="spellStart"/>
      <w:r w:rsidRPr="00DC71B0">
        <w:rPr>
          <w:rFonts w:asciiTheme="majorHAnsi" w:hAnsiTheme="majorHAnsi" w:cstheme="majorHAnsi"/>
        </w:rPr>
        <w:t>ppmv</w:t>
      </w:r>
      <w:proofErr w:type="spellEnd"/>
      <w:r w:rsidRPr="00DC71B0">
        <w:rPr>
          <w:rFonts w:asciiTheme="majorHAnsi" w:hAnsiTheme="majorHAnsi" w:cstheme="majorHAnsi"/>
        </w:rPr>
        <w:t xml:space="preserve"> standard in § 63.1218(a)(6)(i) or (b)(6)(i)</w:t>
      </w:r>
    </w:p>
    <w:p w14:paraId="1E37633F" w14:textId="77777777" w:rsidR="00002E2D" w:rsidRPr="00DC71B0" w:rsidRDefault="00002E2D" w:rsidP="00032DB7">
      <w:pPr>
        <w:pStyle w:val="APDCodeList"/>
        <w:rPr>
          <w:rFonts w:asciiTheme="majorHAnsi" w:hAnsiTheme="majorHAnsi" w:cstheme="majorHAnsi"/>
        </w:rPr>
      </w:pPr>
      <w:r w:rsidRPr="00DC71B0">
        <w:rPr>
          <w:rFonts w:asciiTheme="majorHAnsi" w:hAnsiTheme="majorHAnsi" w:cstheme="majorHAnsi"/>
        </w:rPr>
        <w:t>SRE-6</w:t>
      </w:r>
      <w:r w:rsidRPr="00DC71B0">
        <w:rPr>
          <w:rFonts w:asciiTheme="majorHAnsi" w:hAnsiTheme="majorHAnsi" w:cstheme="majorHAnsi"/>
        </w:rPr>
        <w:tab/>
        <w:t>Complying with the system removal efficiency (SRE) standard in § 63.1218(a)(6)(ii) or (b)(6)(ii)</w:t>
      </w:r>
    </w:p>
    <w:p w14:paraId="4DE726C0" w14:textId="044DFE78" w:rsidR="00793C3D" w:rsidRDefault="00793C3D">
      <w:pPr>
        <w:rPr>
          <w:rFonts w:asciiTheme="majorHAnsi" w:hAnsiTheme="majorHAnsi" w:cstheme="majorHAnsi"/>
        </w:rPr>
      </w:pPr>
      <w:r>
        <w:rPr>
          <w:rFonts w:asciiTheme="majorHAnsi" w:hAnsiTheme="majorHAnsi" w:cstheme="majorHAnsi"/>
        </w:rPr>
        <w:br w:type="page"/>
      </w:r>
    </w:p>
    <w:p w14:paraId="3F27FB37" w14:textId="77777777" w:rsidR="00002E2D" w:rsidRPr="00DC71B0" w:rsidRDefault="00002E2D" w:rsidP="00002E2D">
      <w:pPr>
        <w:pStyle w:val="APDBody"/>
        <w:pBdr>
          <w:bottom w:val="double" w:sz="6" w:space="1" w:color="auto"/>
        </w:pBdr>
        <w:rPr>
          <w:rFonts w:asciiTheme="majorHAnsi" w:hAnsiTheme="majorHAnsi" w:cstheme="majorHAnsi"/>
        </w:rPr>
      </w:pPr>
    </w:p>
    <w:bookmarkStart w:id="16" w:name="Table5b"/>
    <w:p w14:paraId="37C67CCD" w14:textId="58D614EE" w:rsidR="00002E2D" w:rsidRPr="00DC71B0" w:rsidRDefault="008D04A9" w:rsidP="00416FC5">
      <w:pPr>
        <w:pStyle w:val="APDTable1stSpecific"/>
        <w:rPr>
          <w:rFonts w:asciiTheme="majorHAnsi" w:hAnsiTheme="majorHAnsi" w:cstheme="majorHAnsi"/>
        </w:rPr>
      </w:pPr>
      <w:r w:rsidRPr="00273CFE">
        <w:rPr>
          <w:rStyle w:val="Hyperlink"/>
        </w:rPr>
        <w:fldChar w:fldCharType="begin"/>
      </w:r>
      <w:r w:rsidR="00765060">
        <w:rPr>
          <w:rStyle w:val="Hyperlink"/>
        </w:rPr>
        <w:instrText>HYPERLINK  \l "TBL5b" \o "Table 5b"</w:instrText>
      </w:r>
      <w:r w:rsidRPr="00273CFE">
        <w:rPr>
          <w:rStyle w:val="Hyperlink"/>
        </w:rPr>
      </w:r>
      <w:r w:rsidRPr="00273CFE">
        <w:rPr>
          <w:rStyle w:val="Hyperlink"/>
        </w:rPr>
        <w:fldChar w:fldCharType="separate"/>
      </w:r>
      <w:r w:rsidR="00002E2D" w:rsidRPr="0036344A">
        <w:rPr>
          <w:rStyle w:val="Hyperlink"/>
        </w:rPr>
        <w:t>Table 5b</w:t>
      </w:r>
      <w:bookmarkEnd w:id="16"/>
      <w:r w:rsidRPr="00273CFE">
        <w:rPr>
          <w:rStyle w:val="Hyperlink"/>
        </w:rPr>
        <w:fldChar w:fldCharType="end"/>
      </w:r>
      <w:r w:rsidR="00002E2D" w:rsidRPr="00DC71B0">
        <w:rPr>
          <w:rFonts w:asciiTheme="majorHAnsi" w:hAnsiTheme="majorHAnsi" w:cstheme="majorHAnsi"/>
        </w:rPr>
        <w:t>:</w:t>
      </w:r>
      <w:r w:rsidR="00002E2D" w:rsidRPr="00DC71B0">
        <w:rPr>
          <w:rFonts w:asciiTheme="majorHAnsi" w:hAnsiTheme="majorHAnsi" w:cstheme="majorHAnsi"/>
        </w:rPr>
        <w:tab/>
        <w:t>Title 40 Code of Federal Regulations Part 63 (40 CFR Part 63), Subpart EEE: Hazardous Waste Combustors</w:t>
      </w:r>
    </w:p>
    <w:p w14:paraId="54AE9146"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Unit ID No.:</w:t>
      </w:r>
    </w:p>
    <w:p w14:paraId="48080B3D" w14:textId="77777777" w:rsidR="00002E2D" w:rsidRPr="00DC71B0" w:rsidRDefault="00002E2D" w:rsidP="00D647BE">
      <w:pPr>
        <w:pStyle w:val="APDBody"/>
        <w:tabs>
          <w:tab w:val="left" w:pos="0"/>
        </w:tabs>
        <w:rPr>
          <w:rFonts w:asciiTheme="majorHAnsi" w:hAnsiTheme="majorHAnsi" w:cstheme="majorHAnsi"/>
        </w:rPr>
      </w:pPr>
      <w:r w:rsidRPr="00DC71B0">
        <w:rPr>
          <w:rFonts w:asciiTheme="majorHAnsi" w:hAnsiTheme="majorHAnsi" w:cstheme="majorHAnsi"/>
        </w:rPr>
        <w:t>Enter the identification number (ID No.) for the unit (maximum 10 characters) as listed on Form OP-SUM (Individual Unit Summary).</w:t>
      </w:r>
    </w:p>
    <w:p w14:paraId="77A3F0B5" w14:textId="77777777" w:rsidR="00002E2D" w:rsidRPr="00DC71B0" w:rsidRDefault="00002E2D" w:rsidP="00D647BE">
      <w:pPr>
        <w:pStyle w:val="APDBodyBOLDheader"/>
        <w:tabs>
          <w:tab w:val="left" w:pos="0"/>
        </w:tabs>
        <w:rPr>
          <w:rFonts w:asciiTheme="majorHAnsi" w:hAnsiTheme="majorHAnsi" w:cstheme="majorHAnsi"/>
        </w:rPr>
      </w:pPr>
      <w:r w:rsidRPr="00DC71B0">
        <w:rPr>
          <w:rFonts w:asciiTheme="majorHAnsi" w:hAnsiTheme="majorHAnsi" w:cstheme="majorHAnsi"/>
        </w:rPr>
        <w:t>SOP Index No.:</w:t>
      </w:r>
    </w:p>
    <w:p w14:paraId="67564FE1" w14:textId="702C19DA" w:rsidR="00002E2D" w:rsidRPr="004F70DF" w:rsidRDefault="00002E2D" w:rsidP="00D647BE">
      <w:pPr>
        <w:pStyle w:val="BodyText"/>
        <w:tabs>
          <w:tab w:val="left" w:pos="0"/>
        </w:tabs>
        <w:rPr>
          <w:rFonts w:asciiTheme="majorHAnsi" w:hAnsiTheme="majorHAnsi" w:cstheme="majorHAnsi"/>
        </w:rPr>
      </w:pPr>
      <w:r w:rsidRPr="00DC71B0">
        <w:rPr>
          <w:rFonts w:asciiTheme="majorHAnsi" w:hAnsiTheme="majorHAnsi" w:cstheme="majorHAnsi"/>
        </w:rPr>
        <w:t>Site operating permit (SOP) applicants should indicate the SOP index number for the unit or group of units (maximum</w:t>
      </w:r>
      <w:r w:rsidR="00FD524F">
        <w:rPr>
          <w:rFonts w:asciiTheme="majorHAnsi" w:hAnsiTheme="majorHAnsi" w:cstheme="majorHAnsi"/>
        </w:rPr>
        <w:t> </w:t>
      </w:r>
      <w:r w:rsidRPr="00DC71B0">
        <w:rPr>
          <w:rFonts w:asciiTheme="majorHAnsi" w:hAnsiTheme="majorHAnsi" w:cstheme="majorHAnsi"/>
        </w:rPr>
        <w:t>15</w:t>
      </w:r>
      <w:r w:rsidR="00FD524F">
        <w:rPr>
          <w:rFonts w:asciiTheme="majorHAnsi" w:hAnsiTheme="majorHAnsi" w:cstheme="majorHAnsi"/>
        </w:rPr>
        <w:t> </w:t>
      </w:r>
      <w:r w:rsidRPr="00DC71B0">
        <w:rPr>
          <w:rFonts w:asciiTheme="majorHAnsi" w:hAnsiTheme="majorHAnsi" w:cstheme="majorHAnsi"/>
        </w:rPr>
        <w:t>characters consisting of numeric, alphanumeric characters, and/or dashes prefixed by a code for the applicable regulation [i.e., 60KB-XXXX]).</w:t>
      </w:r>
      <w:r w:rsidR="00CE700E" w:rsidRPr="00CE700E">
        <w:t xml:space="preserve"> </w:t>
      </w:r>
      <w:r w:rsidR="00CE700E" w:rsidRPr="00EF0801">
        <w:t xml:space="preserve">For additional information relating to SOP index numbers, please </w:t>
      </w:r>
      <w:r w:rsidR="00CE700E">
        <w:t xml:space="preserve">see the Completing FOP Applications – Additional Guidance on the </w:t>
      </w:r>
      <w:r w:rsidR="00CE700E" w:rsidRPr="00EF0801">
        <w:t xml:space="preserve">TCEQ website at </w:t>
      </w:r>
      <w:hyperlink r:id="rId19" w:tooltip="TCEQ - Completing FOP Applications - Additional Guidance" w:history="1">
        <w:r w:rsidR="00CE700E" w:rsidRPr="009D4860">
          <w:rPr>
            <w:rStyle w:val="Hyperlink"/>
          </w:rPr>
          <w:t>www.tceq.texas.gov/permitting/air/guidance/titlev/tv_fop_guidance.html</w:t>
        </w:r>
      </w:hyperlink>
      <w:r w:rsidR="00BA02CB" w:rsidRPr="00793C3D">
        <w:rPr>
          <w:rStyle w:val="Hyperlink"/>
          <w:color w:val="auto"/>
          <w:u w:val="none"/>
        </w:rPr>
        <w:t>.</w:t>
      </w:r>
    </w:p>
    <w:p w14:paraId="75435BF4" w14:textId="77777777" w:rsidR="00002E2D" w:rsidRPr="00DC71B0" w:rsidRDefault="00002E2D" w:rsidP="00635BA8">
      <w:pPr>
        <w:pStyle w:val="APDBodyBOLDheader"/>
        <w:tabs>
          <w:tab w:val="left" w:pos="0"/>
        </w:tabs>
        <w:rPr>
          <w:rFonts w:asciiTheme="majorHAnsi" w:hAnsiTheme="majorHAnsi" w:cstheme="majorHAnsi"/>
        </w:rPr>
      </w:pPr>
      <w:r w:rsidRPr="00DC71B0">
        <w:rPr>
          <w:rFonts w:asciiTheme="majorHAnsi" w:hAnsiTheme="majorHAnsi" w:cstheme="majorHAnsi"/>
        </w:rPr>
        <w:t>Baghouse:</w:t>
      </w:r>
    </w:p>
    <w:p w14:paraId="342B8B17" w14:textId="77777777" w:rsidR="00002E2D" w:rsidRPr="00DC71B0" w:rsidRDefault="00002E2D" w:rsidP="00635BA8">
      <w:pPr>
        <w:pStyle w:val="APDBody"/>
        <w:tabs>
          <w:tab w:val="left" w:pos="0"/>
        </w:tabs>
        <w:rPr>
          <w:rFonts w:asciiTheme="majorHAnsi" w:hAnsiTheme="majorHAnsi" w:cstheme="majorHAnsi"/>
        </w:rPr>
      </w:pPr>
      <w:r w:rsidRPr="00DC71B0">
        <w:rPr>
          <w:rFonts w:asciiTheme="majorHAnsi" w:hAnsiTheme="majorHAnsi" w:cstheme="majorHAnsi"/>
        </w:rPr>
        <w:t>Enter “YES” if the furnace is equipped with a baghouse. Otherwise, enter “NO.”</w:t>
      </w:r>
    </w:p>
    <w:p w14:paraId="0583B71E" w14:textId="77777777" w:rsidR="00002E2D" w:rsidRPr="00DC71B0" w:rsidRDefault="00416FC5" w:rsidP="00416FC5">
      <w:pPr>
        <w:pStyle w:val="APDCompleteStarStyle"/>
      </w:pPr>
      <w:r w:rsidRPr="00DC71B0">
        <w:t xml:space="preserve">Complete </w:t>
      </w:r>
      <w:r w:rsidR="00002E2D" w:rsidRPr="00DC71B0">
        <w:t>“PM Detection” only if “Baghouse” is “YES.”</w:t>
      </w:r>
    </w:p>
    <w:p w14:paraId="2914B17F" w14:textId="77777777" w:rsidR="00002E2D" w:rsidRPr="00DC71B0" w:rsidRDefault="00002E2D" w:rsidP="00635BA8">
      <w:pPr>
        <w:pStyle w:val="APDBodyBOLDheader"/>
        <w:tabs>
          <w:tab w:val="left" w:pos="0"/>
        </w:tabs>
        <w:rPr>
          <w:rFonts w:asciiTheme="majorHAnsi" w:hAnsiTheme="majorHAnsi" w:cstheme="majorHAnsi"/>
        </w:rPr>
      </w:pPr>
      <w:r w:rsidRPr="00DC71B0">
        <w:rPr>
          <w:rFonts w:asciiTheme="majorHAnsi" w:hAnsiTheme="majorHAnsi" w:cstheme="majorHAnsi"/>
        </w:rPr>
        <w:t>PM Detection:</w:t>
      </w:r>
    </w:p>
    <w:p w14:paraId="19EA2670" w14:textId="77777777" w:rsidR="00002E2D" w:rsidRPr="00DC71B0" w:rsidRDefault="00002E2D" w:rsidP="00635BA8">
      <w:pPr>
        <w:pStyle w:val="APDBody"/>
        <w:tabs>
          <w:tab w:val="left" w:pos="0"/>
        </w:tabs>
        <w:rPr>
          <w:rFonts w:asciiTheme="majorHAnsi" w:hAnsiTheme="majorHAnsi" w:cstheme="majorHAnsi"/>
        </w:rPr>
      </w:pPr>
      <w:r w:rsidRPr="00DC71B0">
        <w:rPr>
          <w:rFonts w:asciiTheme="majorHAnsi" w:hAnsiTheme="majorHAnsi" w:cstheme="majorHAnsi"/>
        </w:rPr>
        <w:t>Enter “YES” if a PM detection system is used. Otherwise, enter “NO.”</w:t>
      </w:r>
    </w:p>
    <w:p w14:paraId="46D14D3C" w14:textId="77777777" w:rsidR="00002E2D" w:rsidRPr="00DC71B0" w:rsidRDefault="00002E2D" w:rsidP="00635BA8">
      <w:pPr>
        <w:pStyle w:val="APDBodyBOLDheader"/>
        <w:tabs>
          <w:tab w:val="left" w:pos="0"/>
        </w:tabs>
        <w:rPr>
          <w:rFonts w:asciiTheme="majorHAnsi" w:hAnsiTheme="majorHAnsi" w:cstheme="majorHAnsi"/>
        </w:rPr>
      </w:pPr>
      <w:r w:rsidRPr="00DC71B0">
        <w:rPr>
          <w:rFonts w:asciiTheme="majorHAnsi" w:hAnsiTheme="majorHAnsi" w:cstheme="majorHAnsi"/>
        </w:rPr>
        <w:t>Dioxin-Listed:</w:t>
      </w:r>
    </w:p>
    <w:p w14:paraId="668CD9A0" w14:textId="77777777" w:rsidR="00002E2D" w:rsidRPr="00DC71B0" w:rsidRDefault="00002E2D" w:rsidP="00635BA8">
      <w:pPr>
        <w:pStyle w:val="APDBody"/>
        <w:tabs>
          <w:tab w:val="left" w:pos="0"/>
        </w:tabs>
        <w:rPr>
          <w:rFonts w:asciiTheme="majorHAnsi" w:hAnsiTheme="majorHAnsi" w:cstheme="majorHAnsi"/>
        </w:rPr>
      </w:pPr>
      <w:r w:rsidRPr="00DC71B0">
        <w:rPr>
          <w:rFonts w:asciiTheme="majorHAnsi" w:hAnsiTheme="majorHAnsi" w:cstheme="majorHAnsi"/>
        </w:rPr>
        <w:t>Enter “YES” if the furnace burns the dioxin-listed hazardous wastes F020, F021, F022, F023, F026, or F027. Otherwise, enter “NO.”</w:t>
      </w:r>
    </w:p>
    <w:p w14:paraId="4485BF5E" w14:textId="77777777" w:rsidR="00002E2D" w:rsidRPr="00DC71B0" w:rsidRDefault="00002E2D" w:rsidP="00635BA8">
      <w:pPr>
        <w:pStyle w:val="APDBodyBOLDheader"/>
        <w:tabs>
          <w:tab w:val="left" w:pos="0"/>
        </w:tabs>
        <w:rPr>
          <w:rFonts w:asciiTheme="majorHAnsi" w:hAnsiTheme="majorHAnsi" w:cstheme="majorHAnsi"/>
        </w:rPr>
      </w:pPr>
      <w:r w:rsidRPr="00DC71B0">
        <w:rPr>
          <w:rFonts w:asciiTheme="majorHAnsi" w:hAnsiTheme="majorHAnsi" w:cstheme="majorHAnsi"/>
        </w:rPr>
        <w:t>DRE Previous Test:</w:t>
      </w:r>
    </w:p>
    <w:p w14:paraId="5A0B56BC" w14:textId="77777777" w:rsidR="00002E2D" w:rsidRPr="00DC71B0" w:rsidRDefault="00002E2D" w:rsidP="00635BA8">
      <w:pPr>
        <w:pStyle w:val="APDBody"/>
        <w:tabs>
          <w:tab w:val="left" w:pos="0"/>
        </w:tabs>
        <w:rPr>
          <w:rFonts w:asciiTheme="majorHAnsi" w:hAnsiTheme="majorHAnsi" w:cstheme="majorHAnsi"/>
        </w:rPr>
      </w:pPr>
      <w:r w:rsidRPr="00DC71B0">
        <w:rPr>
          <w:rFonts w:asciiTheme="majorHAnsi" w:hAnsiTheme="majorHAnsi" w:cstheme="majorHAnsi"/>
        </w:rPr>
        <w:t>Enter “YES” if previous testing was used to document conformance with the DRE standard. Otherwise, enter “NO.”</w:t>
      </w:r>
    </w:p>
    <w:p w14:paraId="000B3F1F" w14:textId="77777777" w:rsidR="00002E2D" w:rsidRPr="00DC71B0" w:rsidRDefault="00416FC5" w:rsidP="00635BA8">
      <w:pPr>
        <w:pStyle w:val="APDCompleteStarStyle"/>
      </w:pPr>
      <w:r w:rsidRPr="00DC71B0">
        <w:t xml:space="preserve">Complete </w:t>
      </w:r>
      <w:r w:rsidR="00002E2D" w:rsidRPr="00DC71B0">
        <w:t>“Feed Zone” only if “DRE Previous Test” is “YES.”</w:t>
      </w:r>
    </w:p>
    <w:p w14:paraId="4A812D0D" w14:textId="77777777" w:rsidR="00002E2D" w:rsidRPr="00DC71B0" w:rsidRDefault="00002E2D" w:rsidP="00635BA8">
      <w:pPr>
        <w:pStyle w:val="APDBodyBOLDheader"/>
        <w:tabs>
          <w:tab w:val="left" w:pos="0"/>
        </w:tabs>
        <w:rPr>
          <w:rFonts w:asciiTheme="majorHAnsi" w:hAnsiTheme="majorHAnsi" w:cstheme="majorHAnsi"/>
        </w:rPr>
      </w:pPr>
      <w:r w:rsidRPr="00DC71B0">
        <w:rPr>
          <w:rFonts w:asciiTheme="majorHAnsi" w:hAnsiTheme="majorHAnsi" w:cstheme="majorHAnsi"/>
        </w:rPr>
        <w:t>Feed Zone:</w:t>
      </w:r>
    </w:p>
    <w:p w14:paraId="58AA2CAE" w14:textId="77777777" w:rsidR="00A803CA" w:rsidRDefault="00002E2D" w:rsidP="00635BA8">
      <w:pPr>
        <w:tabs>
          <w:tab w:val="left" w:pos="0"/>
        </w:tabs>
      </w:pPr>
      <w:r w:rsidRPr="00DC71B0">
        <w:rPr>
          <w:rFonts w:asciiTheme="majorHAnsi" w:hAnsiTheme="majorHAnsi" w:cstheme="majorHAnsi"/>
        </w:rPr>
        <w:t>Enter “YES” if the source feeds waste at a location other than the normal flame zone. Otherwise, enter “NO.”</w:t>
      </w:r>
      <w:r w:rsidR="00A803CA" w:rsidRPr="00A803CA">
        <w:t xml:space="preserve"> </w:t>
      </w:r>
    </w:p>
    <w:p w14:paraId="1380F857" w14:textId="77777777" w:rsidR="00A803CA" w:rsidRDefault="00A803CA">
      <w:r>
        <w:br w:type="page"/>
      </w:r>
    </w:p>
    <w:p w14:paraId="55C3CF03" w14:textId="77777777" w:rsidR="00A803CA" w:rsidRPr="00EF0801" w:rsidRDefault="00A803CA" w:rsidP="00E9185E">
      <w:pPr>
        <w:pBdr>
          <w:bottom w:val="double" w:sz="4" w:space="1" w:color="auto"/>
        </w:pBdr>
        <w:spacing w:after="0"/>
      </w:pPr>
    </w:p>
    <w:bookmarkStart w:id="17" w:name="Table_6a"/>
    <w:bookmarkStart w:id="18" w:name="Table_14"/>
    <w:p w14:paraId="404ADA38" w14:textId="70D3F6EB" w:rsidR="00A803CA" w:rsidRDefault="00201947" w:rsidP="00E9185E">
      <w:pPr>
        <w:spacing w:before="120" w:after="0"/>
        <w:ind w:left="1440" w:hanging="1440"/>
        <w:rPr>
          <w:b/>
          <w:bCs/>
        </w:rPr>
      </w:pPr>
      <w:r w:rsidRPr="00273CFE">
        <w:rPr>
          <w:rStyle w:val="Hyperlink"/>
          <w:bCs/>
        </w:rPr>
        <w:fldChar w:fldCharType="begin"/>
      </w:r>
      <w:r w:rsidR="00765060">
        <w:rPr>
          <w:rStyle w:val="Hyperlink"/>
          <w:bCs/>
        </w:rPr>
        <w:instrText>HYPERLINK  \l "TBL6a" \o "Table 6a"</w:instrText>
      </w:r>
      <w:r w:rsidRPr="00273CFE">
        <w:rPr>
          <w:rStyle w:val="Hyperlink"/>
          <w:bCs/>
        </w:rPr>
      </w:r>
      <w:r w:rsidRPr="00273CFE">
        <w:rPr>
          <w:rStyle w:val="Hyperlink"/>
          <w:bCs/>
        </w:rPr>
        <w:fldChar w:fldCharType="separate"/>
      </w:r>
      <w:r w:rsidR="00A803CA" w:rsidRPr="00273CFE">
        <w:rPr>
          <w:rStyle w:val="Hyperlink"/>
          <w:b/>
          <w:bCs/>
        </w:rPr>
        <w:t>Table 6</w:t>
      </w:r>
      <w:r w:rsidR="000822FA" w:rsidRPr="00273CFE">
        <w:rPr>
          <w:rStyle w:val="Hyperlink"/>
          <w:b/>
          <w:bCs/>
        </w:rPr>
        <w:t>a</w:t>
      </w:r>
      <w:r w:rsidRPr="00273CFE">
        <w:rPr>
          <w:rStyle w:val="Hyperlink"/>
          <w:bCs/>
        </w:rPr>
        <w:fldChar w:fldCharType="end"/>
      </w:r>
      <w:bookmarkEnd w:id="17"/>
      <w:r w:rsidR="00A803CA" w:rsidRPr="00EF0801">
        <w:rPr>
          <w:b/>
        </w:rPr>
        <w:t>:</w:t>
      </w:r>
      <w:r w:rsidR="00A803CA" w:rsidRPr="00EF0801">
        <w:rPr>
          <w:b/>
        </w:rPr>
        <w:tab/>
        <w:t>Title 40 Code of Federal Regulations Part 63 (40 CFR Part 63)</w:t>
      </w:r>
      <w:r w:rsidR="00A803CA">
        <w:rPr>
          <w:b/>
        </w:rPr>
        <w:t xml:space="preserve">, </w:t>
      </w:r>
      <w:r w:rsidR="00A803CA" w:rsidRPr="00EF0801">
        <w:rPr>
          <w:b/>
        </w:rPr>
        <w:t xml:space="preserve">Subpart </w:t>
      </w:r>
      <w:r w:rsidR="00A803CA">
        <w:rPr>
          <w:b/>
        </w:rPr>
        <w:t>DDDDD</w:t>
      </w:r>
      <w:r w:rsidR="00A803CA" w:rsidRPr="00EF0801">
        <w:rPr>
          <w:b/>
        </w:rPr>
        <w:t xml:space="preserve">: </w:t>
      </w:r>
      <w:r w:rsidR="00A803CA" w:rsidRPr="00495923">
        <w:rPr>
          <w:b/>
          <w:bCs/>
        </w:rPr>
        <w:t xml:space="preserve">Industrial, Commercial, and </w:t>
      </w:r>
      <w:r w:rsidR="007C0D8B">
        <w:rPr>
          <w:b/>
          <w:bCs/>
        </w:rPr>
        <w:t>Institutional</w:t>
      </w:r>
      <w:r w:rsidR="007C0D8B" w:rsidRPr="00495923">
        <w:rPr>
          <w:b/>
          <w:bCs/>
        </w:rPr>
        <w:t xml:space="preserve"> </w:t>
      </w:r>
      <w:r w:rsidR="00A803CA">
        <w:rPr>
          <w:b/>
          <w:bCs/>
        </w:rPr>
        <w:t>Process Heater</w:t>
      </w:r>
      <w:r w:rsidR="00A803CA" w:rsidRPr="00495923">
        <w:rPr>
          <w:b/>
          <w:bCs/>
        </w:rPr>
        <w:t>s</w:t>
      </w:r>
    </w:p>
    <w:bookmarkEnd w:id="18"/>
    <w:p w14:paraId="7C2C92F3" w14:textId="77777777" w:rsidR="00A803CA" w:rsidRPr="00EF0801" w:rsidRDefault="00A803CA" w:rsidP="00635BA8">
      <w:pPr>
        <w:tabs>
          <w:tab w:val="left" w:pos="0"/>
        </w:tabs>
        <w:spacing w:after="0"/>
      </w:pPr>
      <w:r w:rsidRPr="00EF0801">
        <w:rPr>
          <w:b/>
        </w:rPr>
        <w:t>Unit ID No</w:t>
      </w:r>
      <w:r w:rsidRPr="00F94A09">
        <w:rPr>
          <w:b/>
          <w:bCs/>
        </w:rPr>
        <w:t>.:</w:t>
      </w:r>
    </w:p>
    <w:p w14:paraId="550E7A06" w14:textId="77777777" w:rsidR="00A803CA" w:rsidRPr="00EF0801" w:rsidRDefault="00A803CA" w:rsidP="00635BA8">
      <w:pPr>
        <w:tabs>
          <w:tab w:val="left" w:pos="0"/>
        </w:tabs>
      </w:pPr>
      <w:r w:rsidRPr="00EF0801">
        <w:t>Enter the identification number (ID No.) for the unit (maximum 10 characters) as listed on Form OP SUM (Individual</w:t>
      </w:r>
      <w:r>
        <w:t> </w:t>
      </w:r>
      <w:r w:rsidRPr="00EF0801">
        <w:t>Unit Summary).</w:t>
      </w:r>
    </w:p>
    <w:p w14:paraId="276C1ADD" w14:textId="6D8011B5" w:rsidR="00A803CA" w:rsidRPr="00EF0801" w:rsidRDefault="000822FA" w:rsidP="00635BA8">
      <w:pPr>
        <w:tabs>
          <w:tab w:val="left" w:pos="0"/>
        </w:tabs>
        <w:spacing w:after="0"/>
      </w:pPr>
      <w:r>
        <w:rPr>
          <w:b/>
        </w:rPr>
        <w:t>SOP/</w:t>
      </w:r>
      <w:r w:rsidR="00A803CA" w:rsidRPr="00EF0801">
        <w:rPr>
          <w:b/>
        </w:rPr>
        <w:t>GOP Index No.</w:t>
      </w:r>
      <w:r w:rsidR="00A803CA" w:rsidRPr="00F94A09">
        <w:rPr>
          <w:b/>
          <w:bCs/>
        </w:rPr>
        <w:t>:</w:t>
      </w:r>
    </w:p>
    <w:p w14:paraId="794F4C3A" w14:textId="111A399D" w:rsidR="00A803CA" w:rsidRDefault="000822FA" w:rsidP="00635BA8">
      <w:pPr>
        <w:tabs>
          <w:tab w:val="left" w:pos="0"/>
        </w:tabs>
      </w:pPr>
      <w:r w:rsidRPr="000822FA">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A803CA"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A71097" w:rsidRPr="00436B50">
        <w:rPr>
          <w:rFonts w:cs="Times New Roman"/>
        </w:rPr>
        <w:t xml:space="preserve">For additional information relating to SOP and GOP index numbers, please see the Completing FOP Applications – Additional Guidance on the TCEQ website at </w:t>
      </w:r>
      <w:hyperlink r:id="rId20" w:tooltip="TCEQ - Completing FOP Applications - Additional Guidance" w:history="1">
        <w:r w:rsidR="00A71097" w:rsidRPr="00273CFE">
          <w:rPr>
            <w:rStyle w:val="Hyperlink"/>
          </w:rPr>
          <w:t>www.tceq.texas.gov/permitting/air/guidance/titlev/tv_fop_guidance.html</w:t>
        </w:r>
      </w:hyperlink>
      <w:r w:rsidR="00A803CA" w:rsidRPr="00793C3D">
        <w:rPr>
          <w:rStyle w:val="Hyperlink"/>
          <w:color w:val="auto"/>
          <w:u w:val="none"/>
        </w:rPr>
        <w:t>.</w:t>
      </w:r>
    </w:p>
    <w:p w14:paraId="45302544" w14:textId="537E643D" w:rsidR="008F500D" w:rsidRDefault="008F500D" w:rsidP="00635BA8">
      <w:pPr>
        <w:tabs>
          <w:tab w:val="left" w:pos="0"/>
        </w:tabs>
        <w:spacing w:after="0"/>
        <w:rPr>
          <w:b/>
        </w:rPr>
      </w:pPr>
      <w:bookmarkStart w:id="19" w:name="_Hlk31015285"/>
      <w:bookmarkStart w:id="20" w:name="_Hlk31027665"/>
      <w:r>
        <w:rPr>
          <w:b/>
        </w:rPr>
        <w:t>Commence:</w:t>
      </w:r>
    </w:p>
    <w:p w14:paraId="7A1BDA7C" w14:textId="77777777" w:rsidR="008F500D" w:rsidRPr="008F500D" w:rsidRDefault="008F500D" w:rsidP="00635BA8">
      <w:pPr>
        <w:tabs>
          <w:tab w:val="left" w:pos="0"/>
        </w:tabs>
        <w:rPr>
          <w:bCs/>
          <w:lang w:bidi="en-US"/>
        </w:rPr>
      </w:pPr>
      <w:r w:rsidRPr="008F500D">
        <w:rPr>
          <w:bCs/>
          <w:lang w:bidi="en-US"/>
        </w:rPr>
        <w:t>Select one of the following construction date options for the source. Enter the code on the form.</w:t>
      </w:r>
    </w:p>
    <w:p w14:paraId="12CBD998" w14:textId="3387E5BF" w:rsidR="008F500D" w:rsidRDefault="008F500D" w:rsidP="004F70DF">
      <w:pPr>
        <w:tabs>
          <w:tab w:val="left" w:pos="720"/>
          <w:tab w:val="left" w:pos="2160"/>
        </w:tabs>
        <w:spacing w:after="0"/>
        <w:ind w:left="2160" w:hanging="1440"/>
        <w:rPr>
          <w:b/>
        </w:rPr>
      </w:pPr>
      <w:r>
        <w:rPr>
          <w:b/>
        </w:rPr>
        <w:t>Code</w:t>
      </w:r>
      <w:r>
        <w:rPr>
          <w:b/>
        </w:rPr>
        <w:tab/>
        <w:t>Description</w:t>
      </w:r>
    </w:p>
    <w:p w14:paraId="2FEAA404" w14:textId="5264CF65" w:rsidR="008F500D" w:rsidRDefault="008F500D" w:rsidP="004F70DF">
      <w:pPr>
        <w:tabs>
          <w:tab w:val="left" w:pos="720"/>
          <w:tab w:val="left" w:pos="2160"/>
        </w:tabs>
        <w:spacing w:after="0"/>
        <w:ind w:left="2160" w:hanging="1440"/>
        <w:rPr>
          <w:bCs/>
        </w:rPr>
      </w:pPr>
      <w:r>
        <w:rPr>
          <w:bCs/>
        </w:rPr>
        <w:t>NEW</w:t>
      </w:r>
      <w:r>
        <w:rPr>
          <w:bCs/>
        </w:rPr>
        <w:tab/>
      </w:r>
      <w:r w:rsidRPr="008F500D">
        <w:rPr>
          <w:bCs/>
        </w:rPr>
        <w:t>Source is new (commenced construction after June 4, 2010)</w:t>
      </w:r>
    </w:p>
    <w:p w14:paraId="26EFF31D" w14:textId="00753800" w:rsidR="008F500D" w:rsidRDefault="008F500D" w:rsidP="004F70DF">
      <w:pPr>
        <w:tabs>
          <w:tab w:val="left" w:pos="720"/>
          <w:tab w:val="left" w:pos="2160"/>
        </w:tabs>
        <w:spacing w:after="0"/>
        <w:ind w:left="2160" w:hanging="1440"/>
        <w:rPr>
          <w:bCs/>
        </w:rPr>
      </w:pPr>
      <w:r>
        <w:rPr>
          <w:bCs/>
        </w:rPr>
        <w:t>RECON</w:t>
      </w:r>
      <w:r>
        <w:rPr>
          <w:bCs/>
        </w:rPr>
        <w:tab/>
        <w:t>Source is reconstructed (commenced reconstruction after June 4, 2010)</w:t>
      </w:r>
    </w:p>
    <w:p w14:paraId="66D0558B" w14:textId="2BF21777" w:rsidR="008F500D" w:rsidRDefault="008F500D" w:rsidP="004F70DF">
      <w:pPr>
        <w:tabs>
          <w:tab w:val="left" w:pos="720"/>
          <w:tab w:val="left" w:pos="2160"/>
        </w:tabs>
        <w:spacing w:after="0"/>
        <w:ind w:left="2160" w:hanging="1440"/>
        <w:rPr>
          <w:bCs/>
        </w:rPr>
      </w:pPr>
      <w:r>
        <w:rPr>
          <w:bCs/>
        </w:rPr>
        <w:t>EXIST</w:t>
      </w:r>
      <w:r>
        <w:rPr>
          <w:bCs/>
        </w:rPr>
        <w:tab/>
        <w:t>Source is existing (commenced construction or reconstruction on or before June 4, 2010)</w:t>
      </w:r>
    </w:p>
    <w:p w14:paraId="7A880729" w14:textId="7BDD3A9A" w:rsidR="008F500D" w:rsidRDefault="008F500D" w:rsidP="00635BA8">
      <w:pPr>
        <w:tabs>
          <w:tab w:val="left" w:pos="0"/>
        </w:tabs>
        <w:spacing w:before="120" w:after="0"/>
        <w:rPr>
          <w:b/>
        </w:rPr>
      </w:pPr>
      <w:r>
        <w:rPr>
          <w:b/>
        </w:rPr>
        <w:t>Table Applicability:</w:t>
      </w:r>
    </w:p>
    <w:p w14:paraId="49114200" w14:textId="312F5BAC" w:rsidR="008F500D" w:rsidRDefault="008F500D" w:rsidP="00635BA8">
      <w:pPr>
        <w:tabs>
          <w:tab w:val="left" w:pos="0"/>
        </w:tabs>
        <w:rPr>
          <w:bCs/>
        </w:rPr>
      </w:pPr>
      <w:r>
        <w:rPr>
          <w:bCs/>
        </w:rPr>
        <w:t xml:space="preserve">Select </w:t>
      </w:r>
      <w:r w:rsidRPr="008F500D">
        <w:rPr>
          <w:bCs/>
        </w:rPr>
        <w:t>one of the following options that describes the applicability of emission limitations in §63.7500(a)(1)-Tables 1 or 2. Enter the code on the form.</w:t>
      </w:r>
    </w:p>
    <w:p w14:paraId="00DCA669" w14:textId="0A887C6B" w:rsidR="008F500D" w:rsidRDefault="008F500D" w:rsidP="00B231CA">
      <w:pPr>
        <w:tabs>
          <w:tab w:val="left" w:pos="720"/>
          <w:tab w:val="left" w:pos="2160"/>
        </w:tabs>
        <w:spacing w:after="0"/>
        <w:ind w:left="2160" w:hanging="1440"/>
        <w:rPr>
          <w:b/>
        </w:rPr>
      </w:pPr>
      <w:r>
        <w:rPr>
          <w:b/>
        </w:rPr>
        <w:t>Code</w:t>
      </w:r>
      <w:r>
        <w:rPr>
          <w:b/>
        </w:rPr>
        <w:tab/>
        <w:t>Description</w:t>
      </w:r>
    </w:p>
    <w:p w14:paraId="2E49DC63" w14:textId="017B044E" w:rsidR="001B3B27" w:rsidRDefault="008F500D" w:rsidP="00B231CA">
      <w:pPr>
        <w:pStyle w:val="Indention"/>
        <w:tabs>
          <w:tab w:val="left" w:pos="720"/>
          <w:tab w:val="left" w:pos="2160"/>
        </w:tabs>
        <w:ind w:left="2160" w:hanging="1440"/>
      </w:pPr>
      <w:r>
        <w:t>SFF10</w:t>
      </w:r>
      <w:r w:rsidRPr="004978D9">
        <w:tab/>
        <w:t xml:space="preserve">The unit </w:t>
      </w:r>
      <w:r>
        <w:t xml:space="preserve">burns coal/solid fossil fuel </w:t>
      </w:r>
      <w:r w:rsidR="00534C10">
        <w:t>AND</w:t>
      </w:r>
      <w:r w:rsidRPr="00091707">
        <w:t xml:space="preserve"> has heat input </w:t>
      </w:r>
      <w:r>
        <w:t>equal to or greater than</w:t>
      </w:r>
      <w:r w:rsidRPr="00091707">
        <w:t xml:space="preserve"> 10 </w:t>
      </w:r>
      <w:r>
        <w:t>MMBtu/</w:t>
      </w:r>
      <w:proofErr w:type="spellStart"/>
      <w:r>
        <w:t>hr</w:t>
      </w:r>
      <w:proofErr w:type="spellEnd"/>
      <w:r>
        <w:t xml:space="preserve"> (</w:t>
      </w:r>
      <w:r w:rsidRPr="004978D9">
        <w:t>subject to emission limits in Table 1 or 2</w:t>
      </w:r>
      <w:r>
        <w:t>)</w:t>
      </w:r>
    </w:p>
    <w:p w14:paraId="36FA68F3" w14:textId="6760DBAB" w:rsidR="008F500D" w:rsidRPr="00C54F17" w:rsidRDefault="008F500D" w:rsidP="00B231CA">
      <w:pPr>
        <w:pStyle w:val="Indention"/>
        <w:tabs>
          <w:tab w:val="left" w:pos="720"/>
          <w:tab w:val="left" w:pos="2160"/>
        </w:tabs>
        <w:ind w:left="2160" w:hanging="1440"/>
      </w:pPr>
      <w:r>
        <w:t>BM10</w:t>
      </w:r>
      <w:r w:rsidR="001B3B27">
        <w:tab/>
      </w:r>
      <w:r w:rsidRPr="004978D9">
        <w:t xml:space="preserve">The unit </w:t>
      </w:r>
      <w:r>
        <w:t>burns biomass/bio-based solid fuel</w:t>
      </w:r>
      <w:r w:rsidR="007346E3">
        <w:t xml:space="preserve"> AND</w:t>
      </w:r>
      <w:r>
        <w:t xml:space="preserve"> </w:t>
      </w:r>
      <w:r w:rsidRPr="00091707">
        <w:t xml:space="preserve">has heat input </w:t>
      </w:r>
      <w:r>
        <w:t>equal to or greater than</w:t>
      </w:r>
      <w:r w:rsidRPr="00091707">
        <w:t xml:space="preserve"> 10</w:t>
      </w:r>
      <w:r w:rsidR="00820AA9">
        <w:t> </w:t>
      </w:r>
      <w:r>
        <w:t>MMBtu/</w:t>
      </w:r>
      <w:proofErr w:type="spellStart"/>
      <w:r>
        <w:t>hr</w:t>
      </w:r>
      <w:proofErr w:type="spellEnd"/>
      <w:r>
        <w:t xml:space="preserve"> (</w:t>
      </w:r>
      <w:r w:rsidRPr="004978D9">
        <w:t>subject to emission limits in Table</w:t>
      </w:r>
      <w:r w:rsidR="00B231CA">
        <w:t> </w:t>
      </w:r>
      <w:r w:rsidRPr="004978D9">
        <w:t>1</w:t>
      </w:r>
      <w:r w:rsidR="00B231CA">
        <w:t> </w:t>
      </w:r>
      <w:r w:rsidRPr="004978D9">
        <w:t>or</w:t>
      </w:r>
      <w:r w:rsidR="00B231CA">
        <w:t> </w:t>
      </w:r>
      <w:r w:rsidRPr="004978D9">
        <w:t>2</w:t>
      </w:r>
      <w:r>
        <w:t>)</w:t>
      </w:r>
    </w:p>
    <w:p w14:paraId="3F98F411" w14:textId="09D82194" w:rsidR="008F500D" w:rsidRPr="002C1DD5" w:rsidRDefault="008F500D" w:rsidP="00B231CA">
      <w:pPr>
        <w:pStyle w:val="Indention"/>
        <w:tabs>
          <w:tab w:val="left" w:pos="720"/>
          <w:tab w:val="left" w:pos="2160"/>
        </w:tabs>
        <w:ind w:left="2160" w:hanging="1440"/>
      </w:pPr>
      <w:r>
        <w:t>HLIQ10</w:t>
      </w:r>
      <w:r w:rsidRPr="0030067C">
        <w:tab/>
      </w:r>
      <w:r w:rsidRPr="00091707">
        <w:t>The unit</w:t>
      </w:r>
      <w:r>
        <w:t xml:space="preserve"> burns</w:t>
      </w:r>
      <w:r w:rsidRPr="00091707">
        <w:t xml:space="preserve"> </w:t>
      </w:r>
      <w:r>
        <w:t>heavy liquid</w:t>
      </w:r>
      <w:r w:rsidRPr="00091707">
        <w:t xml:space="preserve"> fuel </w:t>
      </w:r>
      <w:r w:rsidR="001B3B27">
        <w:t>AND</w:t>
      </w:r>
      <w:r w:rsidRPr="00091707">
        <w:t xml:space="preserve"> has heat input equal to or greater than 10 </w:t>
      </w:r>
      <w:r>
        <w:t>MMBtu/</w:t>
      </w:r>
      <w:proofErr w:type="spellStart"/>
      <w:r>
        <w:t>hr</w:t>
      </w:r>
      <w:proofErr w:type="spellEnd"/>
      <w:r>
        <w:t xml:space="preserve"> (</w:t>
      </w:r>
      <w:r w:rsidRPr="00091707">
        <w:t>subject to emission limits in Table 1 or 2)</w:t>
      </w:r>
    </w:p>
    <w:p w14:paraId="69D7F615" w14:textId="438CE80F" w:rsidR="008F500D" w:rsidRDefault="008F500D" w:rsidP="00B231CA">
      <w:pPr>
        <w:pStyle w:val="Indention"/>
        <w:tabs>
          <w:tab w:val="left" w:pos="720"/>
          <w:tab w:val="left" w:pos="2160"/>
        </w:tabs>
        <w:ind w:left="2160" w:hanging="1440"/>
      </w:pPr>
      <w:r>
        <w:t>LLIQ10</w:t>
      </w:r>
      <w:r w:rsidRPr="0030067C">
        <w:tab/>
      </w:r>
      <w:r w:rsidRPr="00091707">
        <w:t>The unit</w:t>
      </w:r>
      <w:r>
        <w:t xml:space="preserve"> burns</w:t>
      </w:r>
      <w:r w:rsidRPr="00091707">
        <w:t xml:space="preserve"> </w:t>
      </w:r>
      <w:r>
        <w:t>light liquid</w:t>
      </w:r>
      <w:r w:rsidRPr="00091707">
        <w:t xml:space="preserve"> fuel </w:t>
      </w:r>
      <w:r w:rsidR="001B3B27">
        <w:t>AND</w:t>
      </w:r>
      <w:r w:rsidRPr="00091707">
        <w:t xml:space="preserve"> has heat input equal to or greater than 10 </w:t>
      </w:r>
      <w:r>
        <w:t>MMBtu/</w:t>
      </w:r>
      <w:proofErr w:type="spellStart"/>
      <w:r>
        <w:t>hr</w:t>
      </w:r>
      <w:proofErr w:type="spellEnd"/>
      <w:r>
        <w:t xml:space="preserve"> (</w:t>
      </w:r>
      <w:r w:rsidRPr="00091707">
        <w:t>subject to emission limits in Table 1 or 2)</w:t>
      </w:r>
    </w:p>
    <w:p w14:paraId="1D086F87" w14:textId="0FAF5142" w:rsidR="008F500D" w:rsidRPr="0030067C" w:rsidRDefault="008F500D" w:rsidP="00B231CA">
      <w:pPr>
        <w:pStyle w:val="Indention"/>
        <w:tabs>
          <w:tab w:val="left" w:pos="720"/>
          <w:tab w:val="left" w:pos="2160"/>
        </w:tabs>
        <w:ind w:left="2160" w:hanging="1440"/>
      </w:pPr>
      <w:r>
        <w:t>GAS210</w:t>
      </w:r>
      <w:r>
        <w:tab/>
        <w:t xml:space="preserve">The unit burns Gas 2 fuel </w:t>
      </w:r>
      <w:r w:rsidR="001B3B27">
        <w:t>AND</w:t>
      </w:r>
      <w:r>
        <w:t xml:space="preserve"> has heat input equal to or greater than 10 MMBtu/</w:t>
      </w:r>
      <w:proofErr w:type="spellStart"/>
      <w:r>
        <w:t>hr</w:t>
      </w:r>
      <w:proofErr w:type="spellEnd"/>
      <w:r>
        <w:t xml:space="preserve"> (subject to emission limits in Table 1 or 2)</w:t>
      </w:r>
    </w:p>
    <w:p w14:paraId="67AB5719" w14:textId="53CD013B" w:rsidR="008F500D" w:rsidRDefault="008F500D" w:rsidP="00B231CA">
      <w:pPr>
        <w:pStyle w:val="Indention"/>
        <w:tabs>
          <w:tab w:val="left" w:pos="720"/>
          <w:tab w:val="left" w:pos="2160"/>
        </w:tabs>
        <w:ind w:left="2160" w:hanging="1440"/>
      </w:pPr>
      <w:r>
        <w:t>T3.1LTD</w:t>
      </w:r>
      <w:r w:rsidRPr="0030067C">
        <w:tab/>
      </w:r>
      <w:r w:rsidRPr="00210474">
        <w:t xml:space="preserve">The unit qualifies as a </w:t>
      </w:r>
      <w:r>
        <w:t>limited use</w:t>
      </w:r>
      <w:r w:rsidRPr="00210474">
        <w:t xml:space="preserve"> boiler</w:t>
      </w:r>
      <w:r>
        <w:t xml:space="preserve"> or process heater</w:t>
      </w:r>
      <w:r w:rsidRPr="00210474">
        <w:t xml:space="preserve"> as defined in §63.</w:t>
      </w:r>
      <w:r>
        <w:t xml:space="preserve">7575 (not subject to Table 1 or 2 emission </w:t>
      </w:r>
      <w:r w:rsidR="00334E26">
        <w:t>limits but</w:t>
      </w:r>
      <w:r>
        <w:t xml:space="preserve"> must comply with work practice standards in </w:t>
      </w:r>
      <w:r w:rsidRPr="00232AB3">
        <w:t>§63.7500(a)(</w:t>
      </w:r>
      <w:proofErr w:type="gramStart"/>
      <w:r w:rsidRPr="00232AB3">
        <w:t>1)</w:t>
      </w:r>
      <w:r w:rsidR="00334E26">
        <w:noBreakHyphen/>
      </w:r>
      <w:proofErr w:type="gramEnd"/>
      <w:r w:rsidRPr="00232AB3">
        <w:t>Table 3.1</w:t>
      </w:r>
      <w:r>
        <w:t>)</w:t>
      </w:r>
    </w:p>
    <w:p w14:paraId="333937BE" w14:textId="7AB50D5F" w:rsidR="008F500D" w:rsidRDefault="008F500D" w:rsidP="00B231CA">
      <w:pPr>
        <w:pStyle w:val="Indention"/>
        <w:tabs>
          <w:tab w:val="left" w:pos="720"/>
          <w:tab w:val="left" w:pos="2160"/>
        </w:tabs>
        <w:ind w:left="2160" w:hanging="1440"/>
      </w:pPr>
      <w:r>
        <w:t>T3.1TS</w:t>
      </w:r>
      <w:r>
        <w:tab/>
        <w:t>The unit is designed to utilize a continuous oxygen trim system (not subject to Table 1 or 2 emission limits but must comply with work practice standards in §63.7500(a)(1)-Table 3.1</w:t>
      </w:r>
      <w:r w:rsidRPr="00232AB3">
        <w:t>)</w:t>
      </w:r>
    </w:p>
    <w:p w14:paraId="351C4FD0" w14:textId="0ECEE6A8" w:rsidR="008F500D" w:rsidRDefault="008F500D" w:rsidP="00B231CA">
      <w:pPr>
        <w:pStyle w:val="Indention"/>
        <w:tabs>
          <w:tab w:val="left" w:pos="720"/>
          <w:tab w:val="left" w:pos="2160"/>
        </w:tabs>
        <w:ind w:left="2160" w:hanging="1440"/>
      </w:pPr>
      <w:r>
        <w:t>T3.1G1</w:t>
      </w:r>
      <w:r>
        <w:tab/>
      </w:r>
      <w:r w:rsidRPr="00EE2695">
        <w:t xml:space="preserve">The </w:t>
      </w:r>
      <w:r w:rsidRPr="00F32FF0">
        <w:t xml:space="preserve">unit is designed to burn Gas 1 </w:t>
      </w:r>
      <w:r w:rsidRPr="00FB3059">
        <w:t xml:space="preserve">fuel </w:t>
      </w:r>
      <w:r w:rsidR="001B3B27">
        <w:t>AND</w:t>
      </w:r>
      <w:r w:rsidRPr="00F32FF0">
        <w:t xml:space="preserve"> has no continuous oxygen trim </w:t>
      </w:r>
      <w:r w:rsidR="00566463">
        <w:t>AND</w:t>
      </w:r>
      <w:r>
        <w:t xml:space="preserve"> has </w:t>
      </w:r>
      <w:r w:rsidRPr="00F32FF0">
        <w:t xml:space="preserve">heat input </w:t>
      </w:r>
      <w:r>
        <w:t>equal to or less</w:t>
      </w:r>
      <w:r w:rsidRPr="00F32FF0">
        <w:t xml:space="preserve"> than 5 </w:t>
      </w:r>
      <w:r>
        <w:t>MMBtu/</w:t>
      </w:r>
      <w:proofErr w:type="spellStart"/>
      <w:r>
        <w:t>hr</w:t>
      </w:r>
      <w:proofErr w:type="spellEnd"/>
      <w:r>
        <w:t xml:space="preserve"> (not subject to Table 1 or 2 emission </w:t>
      </w:r>
      <w:r w:rsidR="00B324DF">
        <w:t>limits but</w:t>
      </w:r>
      <w:r>
        <w:t xml:space="preserve"> must comply with work practice standards in §63.7500(a)(1)-Table 3.1</w:t>
      </w:r>
      <w:r w:rsidRPr="00F32FF0">
        <w:t>)</w:t>
      </w:r>
      <w:r w:rsidRPr="006A115A">
        <w:t xml:space="preserve"> </w:t>
      </w:r>
    </w:p>
    <w:p w14:paraId="1A2EA599" w14:textId="3273794C" w:rsidR="008F500D" w:rsidRDefault="008F500D" w:rsidP="00B231CA">
      <w:pPr>
        <w:pStyle w:val="Indention"/>
        <w:tabs>
          <w:tab w:val="left" w:pos="720"/>
          <w:tab w:val="left" w:pos="2160"/>
        </w:tabs>
        <w:ind w:left="2160" w:hanging="1440"/>
      </w:pPr>
      <w:r>
        <w:t>T3.1G2</w:t>
      </w:r>
      <w:r>
        <w:tab/>
        <w:t xml:space="preserve">The unit is designed to burn Gas 2 </w:t>
      </w:r>
      <w:r w:rsidRPr="00FB3059">
        <w:t xml:space="preserve">fuel </w:t>
      </w:r>
      <w:r w:rsidR="00566463">
        <w:t>AND</w:t>
      </w:r>
      <w:r>
        <w:t xml:space="preserve"> has heat input </w:t>
      </w:r>
      <w:r w:rsidRPr="00403955">
        <w:t xml:space="preserve">equal to or less than 5 </w:t>
      </w:r>
      <w:r>
        <w:t>MMBtu/</w:t>
      </w:r>
      <w:proofErr w:type="spellStart"/>
      <w:r>
        <w:t>hr</w:t>
      </w:r>
      <w:proofErr w:type="spellEnd"/>
      <w:r>
        <w:t xml:space="preserve"> (not</w:t>
      </w:r>
      <w:r w:rsidR="00334E26">
        <w:t> </w:t>
      </w:r>
      <w:r>
        <w:t>subject to Table 1 or 2 emission limits but must comply with work practice standards in §63.7500(a)(1)-Table 3.1)</w:t>
      </w:r>
      <w:r w:rsidRPr="006A115A">
        <w:t xml:space="preserve"> </w:t>
      </w:r>
    </w:p>
    <w:p w14:paraId="0A93998E" w14:textId="13013047" w:rsidR="008F500D" w:rsidRPr="00FE5FD9" w:rsidRDefault="008F500D" w:rsidP="00B231CA">
      <w:pPr>
        <w:pStyle w:val="Indention"/>
        <w:tabs>
          <w:tab w:val="left" w:pos="720"/>
          <w:tab w:val="left" w:pos="2160"/>
        </w:tabs>
        <w:ind w:left="2160" w:hanging="1440"/>
      </w:pPr>
      <w:r>
        <w:t>T3.1LL</w:t>
      </w:r>
      <w:r>
        <w:tab/>
        <w:t xml:space="preserve">The unit is designed to burn light liquid </w:t>
      </w:r>
      <w:r w:rsidRPr="00FB3059">
        <w:t xml:space="preserve">fuel </w:t>
      </w:r>
      <w:r w:rsidR="00566463">
        <w:t>AND</w:t>
      </w:r>
      <w:r>
        <w:t xml:space="preserve"> has heat input </w:t>
      </w:r>
      <w:r w:rsidRPr="00403955">
        <w:t xml:space="preserve">equal to or less than </w:t>
      </w:r>
      <w:r>
        <w:t>5</w:t>
      </w:r>
      <w:r w:rsidR="00334E26">
        <w:t> </w:t>
      </w:r>
      <w:r>
        <w:t>MMBtu/</w:t>
      </w:r>
      <w:proofErr w:type="spellStart"/>
      <w:r>
        <w:t>hr</w:t>
      </w:r>
      <w:proofErr w:type="spellEnd"/>
      <w:r>
        <w:t xml:space="preserve"> (not subject to Table 1 or 2 emission </w:t>
      </w:r>
      <w:r w:rsidR="00B324DF">
        <w:t>limits but</w:t>
      </w:r>
      <w:r>
        <w:t xml:space="preserve"> must comply with work practice standards in §63.7500(a)(1)-Table 3.1)</w:t>
      </w:r>
    </w:p>
    <w:p w14:paraId="5B768E30" w14:textId="2FA5DB33" w:rsidR="008F500D" w:rsidRPr="00FE5FD9" w:rsidRDefault="008F500D" w:rsidP="00B231CA">
      <w:pPr>
        <w:pStyle w:val="Indention"/>
        <w:tabs>
          <w:tab w:val="left" w:pos="720"/>
          <w:tab w:val="left" w:pos="2160"/>
        </w:tabs>
        <w:ind w:left="2160" w:hanging="1440"/>
      </w:pPr>
      <w:r>
        <w:lastRenderedPageBreak/>
        <w:t>T3.2</w:t>
      </w:r>
      <w:r w:rsidRPr="0079616C">
        <w:t>G1</w:t>
      </w:r>
      <w:r>
        <w:tab/>
        <w:t xml:space="preserve">The </w:t>
      </w:r>
      <w:r w:rsidRPr="00FE5FD9">
        <w:t xml:space="preserve">unit is </w:t>
      </w:r>
      <w:r>
        <w:t xml:space="preserve">designed to burn Gas 1 fuel </w:t>
      </w:r>
      <w:r w:rsidR="00566463">
        <w:t>AND</w:t>
      </w:r>
      <w:r w:rsidRPr="00FE5FD9">
        <w:t xml:space="preserve"> has no continuous oxygen trim </w:t>
      </w:r>
      <w:r w:rsidR="00566463">
        <w:t>AND</w:t>
      </w:r>
      <w:r>
        <w:t xml:space="preserve"> has </w:t>
      </w:r>
      <w:r w:rsidRPr="00FE5FD9">
        <w:t xml:space="preserve">heat input </w:t>
      </w:r>
      <w:r>
        <w:t>less than</w:t>
      </w:r>
      <w:r w:rsidRPr="00FE5FD9">
        <w:t xml:space="preserve"> </w:t>
      </w:r>
      <w:r>
        <w:t>10 MMBtu/</w:t>
      </w:r>
      <w:proofErr w:type="spellStart"/>
      <w:r>
        <w:t>hr</w:t>
      </w:r>
      <w:proofErr w:type="spellEnd"/>
      <w:r>
        <w:t xml:space="preserve"> but greater than 5 MMBtu/</w:t>
      </w:r>
      <w:proofErr w:type="spellStart"/>
      <w:r>
        <w:t>hr</w:t>
      </w:r>
      <w:proofErr w:type="spellEnd"/>
      <w:r>
        <w:t xml:space="preserve"> (not subject to Table 1 or 2 emission </w:t>
      </w:r>
      <w:r w:rsidR="00AE0CB8">
        <w:t>limits but</w:t>
      </w:r>
      <w:r>
        <w:t xml:space="preserve"> must comply with work practice standards in §63.7500(a)(1)-Table 3.2</w:t>
      </w:r>
      <w:r w:rsidRPr="00FE5FD9">
        <w:t>)</w:t>
      </w:r>
      <w:r w:rsidRPr="006A115A">
        <w:t xml:space="preserve"> </w:t>
      </w:r>
    </w:p>
    <w:p w14:paraId="6E39AAB7" w14:textId="08D71157" w:rsidR="008F500D" w:rsidRDefault="008F500D" w:rsidP="00B231CA">
      <w:pPr>
        <w:pStyle w:val="Indention"/>
        <w:tabs>
          <w:tab w:val="left" w:pos="720"/>
          <w:tab w:val="left" w:pos="2160"/>
        </w:tabs>
        <w:ind w:left="2160" w:hanging="1440"/>
      </w:pPr>
      <w:r>
        <w:t>T3.2G2</w:t>
      </w:r>
      <w:r>
        <w:tab/>
        <w:t xml:space="preserve">The unit is designed to burn Gas 2 </w:t>
      </w:r>
      <w:r w:rsidRPr="00FB3059">
        <w:t xml:space="preserve">fuel </w:t>
      </w:r>
      <w:r w:rsidR="00566463">
        <w:t>AND</w:t>
      </w:r>
      <w:r>
        <w:t xml:space="preserve"> has </w:t>
      </w:r>
      <w:r w:rsidRPr="00473951">
        <w:t xml:space="preserve">heat input less than </w:t>
      </w:r>
      <w:r>
        <w:t>10 MMBtu/</w:t>
      </w:r>
      <w:proofErr w:type="spellStart"/>
      <w:r>
        <w:t>hr</w:t>
      </w:r>
      <w:proofErr w:type="spellEnd"/>
      <w:r>
        <w:t xml:space="preserve"> but </w:t>
      </w:r>
      <w:r w:rsidRPr="00473951">
        <w:t xml:space="preserve">greater than 5 </w:t>
      </w:r>
      <w:r>
        <w:t>MMBtu/</w:t>
      </w:r>
      <w:proofErr w:type="spellStart"/>
      <w:r>
        <w:t>hr</w:t>
      </w:r>
      <w:proofErr w:type="spellEnd"/>
      <w:r>
        <w:t xml:space="preserve"> (not subject to Table 1 or 2 emission </w:t>
      </w:r>
      <w:r w:rsidR="00334E26">
        <w:t>limits but</w:t>
      </w:r>
      <w:r>
        <w:t xml:space="preserve"> must comply with work practice standards in §63.7500(a)(1)-Table 3.2</w:t>
      </w:r>
      <w:r w:rsidRPr="00473951">
        <w:t>)</w:t>
      </w:r>
    </w:p>
    <w:p w14:paraId="7214722E" w14:textId="2F425DE3" w:rsidR="00B324DF" w:rsidRDefault="008F500D" w:rsidP="00B231CA">
      <w:pPr>
        <w:pStyle w:val="Indention"/>
        <w:tabs>
          <w:tab w:val="left" w:pos="720"/>
          <w:tab w:val="left" w:pos="2160"/>
        </w:tabs>
        <w:ind w:left="2160" w:hanging="1440"/>
      </w:pPr>
      <w:r>
        <w:t>T3.2LL</w:t>
      </w:r>
      <w:r>
        <w:tab/>
        <w:t xml:space="preserve">The unit is designed to burn light liquid </w:t>
      </w:r>
      <w:r w:rsidRPr="00FB3059">
        <w:t xml:space="preserve">fuel </w:t>
      </w:r>
      <w:r w:rsidR="00566463">
        <w:t>AND</w:t>
      </w:r>
      <w:r>
        <w:t xml:space="preserve"> has heat input less than 10 MMBtu/</w:t>
      </w:r>
      <w:proofErr w:type="spellStart"/>
      <w:r>
        <w:t>hr</w:t>
      </w:r>
      <w:proofErr w:type="spellEnd"/>
      <w:r>
        <w:t xml:space="preserve"> but greater than 5 MMBtu/</w:t>
      </w:r>
      <w:proofErr w:type="spellStart"/>
      <w:r>
        <w:t>hr</w:t>
      </w:r>
      <w:proofErr w:type="spellEnd"/>
      <w:r>
        <w:t xml:space="preserve"> (not subject to Table 1 or 2 emission </w:t>
      </w:r>
      <w:r w:rsidR="00334E26">
        <w:t>limits but</w:t>
      </w:r>
      <w:r>
        <w:t xml:space="preserve"> must comply with work practice standards in §63.7500(a)(1)-Table 3.2)</w:t>
      </w:r>
      <w:r w:rsidRPr="00A20B68">
        <w:t>T3.2</w:t>
      </w:r>
      <w:r>
        <w:t>HL</w:t>
      </w:r>
      <w:r>
        <w:tab/>
        <w:t xml:space="preserve">The unit is designed to burn heavy liquid </w:t>
      </w:r>
      <w:r w:rsidRPr="00FB3059">
        <w:t xml:space="preserve">fuel </w:t>
      </w:r>
      <w:r w:rsidR="00577F3A">
        <w:t xml:space="preserve">AND </w:t>
      </w:r>
      <w:r>
        <w:t>has heat input less than 10 MMBtu/</w:t>
      </w:r>
      <w:proofErr w:type="spellStart"/>
      <w:r>
        <w:t>hr</w:t>
      </w:r>
      <w:proofErr w:type="spellEnd"/>
      <w:r>
        <w:t xml:space="preserve"> (not</w:t>
      </w:r>
      <w:r w:rsidR="00334E26">
        <w:t> </w:t>
      </w:r>
      <w:r>
        <w:t xml:space="preserve">subject to Table 1 or 2 emission </w:t>
      </w:r>
      <w:r w:rsidR="00334E26">
        <w:t>limits but</w:t>
      </w:r>
      <w:r>
        <w:t xml:space="preserve"> must comply with work practice standards in </w:t>
      </w:r>
    </w:p>
    <w:p w14:paraId="6AC6B6D7" w14:textId="2018892F" w:rsidR="008F500D" w:rsidRDefault="008F500D" w:rsidP="00B324DF">
      <w:pPr>
        <w:pStyle w:val="Indention"/>
        <w:tabs>
          <w:tab w:val="left" w:pos="2160"/>
        </w:tabs>
        <w:ind w:left="2160"/>
      </w:pPr>
      <w:r>
        <w:t>§63.7500(a)(1)-Table 3.2)</w:t>
      </w:r>
    </w:p>
    <w:p w14:paraId="64615389" w14:textId="6853A0FF" w:rsidR="008F500D" w:rsidRDefault="008F500D" w:rsidP="00B231CA">
      <w:pPr>
        <w:pStyle w:val="Indention"/>
        <w:tabs>
          <w:tab w:val="left" w:pos="720"/>
          <w:tab w:val="left" w:pos="2160"/>
        </w:tabs>
        <w:ind w:left="2160" w:hanging="1440"/>
      </w:pPr>
      <w:r>
        <w:t>T3.2S</w:t>
      </w:r>
      <w:r>
        <w:tab/>
        <w:t xml:space="preserve">The unit is designed to burn solid fuel </w:t>
      </w:r>
      <w:r w:rsidR="00566463">
        <w:t>AND</w:t>
      </w:r>
      <w:r>
        <w:t xml:space="preserve"> has heat input less 10 MMBtu/</w:t>
      </w:r>
      <w:proofErr w:type="spellStart"/>
      <w:r>
        <w:t>hr</w:t>
      </w:r>
      <w:proofErr w:type="spellEnd"/>
      <w:r>
        <w:t xml:space="preserve"> (not subject to Table</w:t>
      </w:r>
      <w:r w:rsidR="00334E26">
        <w:t> </w:t>
      </w:r>
      <w:r>
        <w:t xml:space="preserve">1 or 2 emission </w:t>
      </w:r>
      <w:r w:rsidR="00334E26">
        <w:t>limits but</w:t>
      </w:r>
      <w:r>
        <w:t xml:space="preserve"> must comply with work practice standards in §63.7500(a)(</w:t>
      </w:r>
      <w:proofErr w:type="gramStart"/>
      <w:r>
        <w:t>1)</w:t>
      </w:r>
      <w:r w:rsidR="00334E26">
        <w:noBreakHyphen/>
      </w:r>
      <w:proofErr w:type="gramEnd"/>
      <w:r>
        <w:t>Table</w:t>
      </w:r>
      <w:r w:rsidR="00334E26">
        <w:t> </w:t>
      </w:r>
      <w:r>
        <w:t>3.2)</w:t>
      </w:r>
    </w:p>
    <w:p w14:paraId="04CE8B4F" w14:textId="6B543711" w:rsidR="008F500D" w:rsidRDefault="008F500D" w:rsidP="00B231CA">
      <w:pPr>
        <w:pStyle w:val="Indention"/>
        <w:tabs>
          <w:tab w:val="left" w:pos="720"/>
          <w:tab w:val="left" w:pos="2160"/>
        </w:tabs>
        <w:ind w:left="2160" w:hanging="1440"/>
      </w:pPr>
      <w:r>
        <w:t>T3.3G1</w:t>
      </w:r>
      <w:r>
        <w:tab/>
        <w:t xml:space="preserve">The </w:t>
      </w:r>
      <w:r w:rsidRPr="00FE5FD9">
        <w:t xml:space="preserve">unit is designed to burn Gas 1 </w:t>
      </w:r>
      <w:r w:rsidRPr="00FB3059">
        <w:t xml:space="preserve">fuel </w:t>
      </w:r>
      <w:r w:rsidR="00566463">
        <w:t>AND</w:t>
      </w:r>
      <w:r w:rsidRPr="00FE5FD9">
        <w:t xml:space="preserve"> has </w:t>
      </w:r>
      <w:r>
        <w:t xml:space="preserve">no </w:t>
      </w:r>
      <w:r w:rsidRPr="00FE5FD9">
        <w:t xml:space="preserve">continuous oxygen trim </w:t>
      </w:r>
      <w:r w:rsidR="00577F3A">
        <w:t xml:space="preserve">AND </w:t>
      </w:r>
      <w:r>
        <w:t xml:space="preserve">has </w:t>
      </w:r>
      <w:r w:rsidRPr="00FE5FD9">
        <w:t xml:space="preserve">heat input equal to or greater than 10 </w:t>
      </w:r>
      <w:r>
        <w:t>MMBtu/</w:t>
      </w:r>
      <w:proofErr w:type="spellStart"/>
      <w:r>
        <w:t>hr</w:t>
      </w:r>
      <w:proofErr w:type="spellEnd"/>
      <w:r>
        <w:t xml:space="preserve"> (not subject to Table 1 or 2 emission limits but must comply with work practice standards in §63.7500(a)(1)-Table 3.3</w:t>
      </w:r>
      <w:r w:rsidRPr="00FE5FD9">
        <w:t>)</w:t>
      </w:r>
    </w:p>
    <w:p w14:paraId="49652179" w14:textId="18D17E9D" w:rsidR="008F500D" w:rsidRPr="008F500D" w:rsidRDefault="008F500D" w:rsidP="002B72D5">
      <w:pPr>
        <w:numPr>
          <w:ilvl w:val="0"/>
          <w:numId w:val="25"/>
        </w:numPr>
        <w:tabs>
          <w:tab w:val="left" w:pos="547"/>
        </w:tabs>
        <w:spacing w:before="120"/>
        <w:ind w:left="547" w:hanging="547"/>
        <w:rPr>
          <w:b/>
          <w:bCs/>
        </w:rPr>
      </w:pPr>
      <w:r w:rsidRPr="008F500D">
        <w:rPr>
          <w:b/>
          <w:bCs/>
        </w:rPr>
        <w:t>Continue only if “Table Applicability” is “SFF10”, “BM10”, “HLIQ10”, “LLIQ10”, or “GAS210.”</w:t>
      </w:r>
    </w:p>
    <w:p w14:paraId="64C93DE3" w14:textId="7DECECB1" w:rsidR="008F500D" w:rsidRDefault="00FF1294" w:rsidP="002B72D5">
      <w:pPr>
        <w:tabs>
          <w:tab w:val="left" w:pos="0"/>
        </w:tabs>
        <w:spacing w:after="0"/>
        <w:rPr>
          <w:b/>
        </w:rPr>
      </w:pPr>
      <w:r>
        <w:rPr>
          <w:b/>
        </w:rPr>
        <w:t>HCl Emission:</w:t>
      </w:r>
    </w:p>
    <w:p w14:paraId="05414282" w14:textId="1F937D86" w:rsidR="00FF1294" w:rsidRDefault="00FF1294" w:rsidP="002B72D5">
      <w:pPr>
        <w:tabs>
          <w:tab w:val="left" w:pos="0"/>
        </w:tabs>
        <w:rPr>
          <w:bCs/>
        </w:rPr>
      </w:pPr>
      <w:r>
        <w:rPr>
          <w:bCs/>
        </w:rPr>
        <w:t>Select one of the following hydrogen chloride emission limit options. Enter the code on the form.</w:t>
      </w:r>
    </w:p>
    <w:p w14:paraId="78434B14" w14:textId="7F226A5C" w:rsidR="00FF1294" w:rsidRDefault="00FF1294" w:rsidP="00A96DCD">
      <w:pPr>
        <w:tabs>
          <w:tab w:val="left" w:pos="720"/>
          <w:tab w:val="left" w:pos="2160"/>
        </w:tabs>
        <w:spacing w:after="0"/>
        <w:ind w:left="2160" w:hanging="1440"/>
        <w:rPr>
          <w:b/>
        </w:rPr>
      </w:pPr>
      <w:r>
        <w:rPr>
          <w:b/>
        </w:rPr>
        <w:t>Code</w:t>
      </w:r>
      <w:r>
        <w:rPr>
          <w:b/>
        </w:rPr>
        <w:tab/>
        <w:t>Description</w:t>
      </w:r>
    </w:p>
    <w:p w14:paraId="24A06345" w14:textId="37F31531" w:rsidR="00FF1294" w:rsidRPr="0030067C" w:rsidRDefault="00FF1294" w:rsidP="00A96DCD">
      <w:pPr>
        <w:pStyle w:val="Indention"/>
        <w:tabs>
          <w:tab w:val="left" w:pos="720"/>
          <w:tab w:val="left" w:pos="2160"/>
        </w:tabs>
        <w:ind w:left="2160" w:hanging="1440"/>
      </w:pPr>
      <w:r>
        <w:t>BTU-HCL</w:t>
      </w:r>
      <w:r w:rsidRPr="0030067C">
        <w:tab/>
      </w:r>
      <w:r>
        <w:t>Emission limits for HCl in pounds</w:t>
      </w:r>
      <w:r w:rsidRPr="00204F2F">
        <w:t xml:space="preserve"> per MMBtu heat input</w:t>
      </w:r>
    </w:p>
    <w:p w14:paraId="380D0A3C" w14:textId="0380CF92" w:rsidR="00FF1294" w:rsidRPr="0030067C" w:rsidRDefault="00FF1294" w:rsidP="00A96DCD">
      <w:pPr>
        <w:pStyle w:val="Indention"/>
        <w:tabs>
          <w:tab w:val="left" w:pos="720"/>
          <w:tab w:val="left" w:pos="2160"/>
        </w:tabs>
        <w:ind w:left="2160" w:hanging="1440"/>
      </w:pPr>
      <w:r>
        <w:t>STM-HCL</w:t>
      </w:r>
      <w:r w:rsidRPr="0030067C">
        <w:tab/>
      </w:r>
      <w:r>
        <w:t>Emission limits for HCl in pounds</w:t>
      </w:r>
      <w:r w:rsidRPr="00204F2F">
        <w:t xml:space="preserve"> per MMBtu steam output</w:t>
      </w:r>
      <w:r>
        <w:t xml:space="preserve"> (for steam generating units only)</w:t>
      </w:r>
    </w:p>
    <w:p w14:paraId="674E742A" w14:textId="7FA7D48C" w:rsidR="00FF1294" w:rsidRDefault="00FF1294" w:rsidP="00A96DCD">
      <w:pPr>
        <w:tabs>
          <w:tab w:val="left" w:pos="720"/>
          <w:tab w:val="left" w:pos="2160"/>
        </w:tabs>
        <w:ind w:left="2160" w:hanging="1440"/>
        <w:rPr>
          <w:b/>
        </w:rPr>
      </w:pPr>
      <w:r>
        <w:t>MWH-HCL</w:t>
      </w:r>
      <w:r>
        <w:tab/>
        <w:t>Emission limits for HCl in pounds</w:t>
      </w:r>
      <w:r w:rsidRPr="00204F2F">
        <w:t xml:space="preserve"> per MWh power output</w:t>
      </w:r>
      <w:r>
        <w:t xml:space="preserve"> (for boilers that generate electricity only)</w:t>
      </w:r>
    </w:p>
    <w:p w14:paraId="6855E379" w14:textId="1DA6C720" w:rsidR="00FF1294" w:rsidRDefault="00FF1294" w:rsidP="009A3869">
      <w:pPr>
        <w:tabs>
          <w:tab w:val="left" w:pos="0"/>
        </w:tabs>
        <w:spacing w:after="0"/>
        <w:rPr>
          <w:b/>
        </w:rPr>
      </w:pPr>
      <w:r>
        <w:rPr>
          <w:b/>
        </w:rPr>
        <w:t>HCl-CMS:</w:t>
      </w:r>
    </w:p>
    <w:p w14:paraId="2231C66F" w14:textId="46DDBD48" w:rsidR="00FF1294" w:rsidRDefault="00FF1294" w:rsidP="002B72D5">
      <w:pPr>
        <w:tabs>
          <w:tab w:val="left" w:pos="0"/>
        </w:tabs>
        <w:rPr>
          <w:bCs/>
        </w:rPr>
      </w:pPr>
      <w:r>
        <w:rPr>
          <w:bCs/>
        </w:rPr>
        <w:t xml:space="preserve">Select one of the following hydrogen chloride continuous monitoring </w:t>
      </w:r>
      <w:proofErr w:type="gramStart"/>
      <w:r w:rsidR="002B72D5">
        <w:rPr>
          <w:bCs/>
        </w:rPr>
        <w:t>system</w:t>
      </w:r>
      <w:proofErr w:type="gramEnd"/>
      <w:r>
        <w:rPr>
          <w:bCs/>
        </w:rPr>
        <w:t xml:space="preserve"> (CMS) options. Enter the code on the form.</w:t>
      </w:r>
    </w:p>
    <w:p w14:paraId="3062B6A7" w14:textId="033BFF74" w:rsidR="00FF1294" w:rsidRDefault="00FF1294" w:rsidP="00A85016">
      <w:pPr>
        <w:tabs>
          <w:tab w:val="left" w:pos="720"/>
          <w:tab w:val="left" w:pos="2160"/>
        </w:tabs>
        <w:spacing w:after="0"/>
        <w:ind w:left="2160" w:hanging="1440"/>
        <w:rPr>
          <w:b/>
        </w:rPr>
      </w:pPr>
      <w:r>
        <w:rPr>
          <w:b/>
        </w:rPr>
        <w:t>Code</w:t>
      </w:r>
      <w:r>
        <w:rPr>
          <w:b/>
        </w:rPr>
        <w:tab/>
        <w:t>Description</w:t>
      </w:r>
    </w:p>
    <w:p w14:paraId="0CE1E133" w14:textId="64920E1F" w:rsidR="00FF1294" w:rsidRPr="0030067C" w:rsidRDefault="00FF1294" w:rsidP="00A85016">
      <w:pPr>
        <w:pStyle w:val="Indention"/>
        <w:tabs>
          <w:tab w:val="left" w:pos="720"/>
          <w:tab w:val="left" w:pos="2160"/>
        </w:tabs>
        <w:ind w:left="2160" w:hanging="1440"/>
      </w:pPr>
      <w:r>
        <w:t>NONE</w:t>
      </w:r>
      <w:r w:rsidRPr="0030067C">
        <w:tab/>
      </w:r>
      <w:r>
        <w:t>A CMS is not being used</w:t>
      </w:r>
    </w:p>
    <w:p w14:paraId="50891740" w14:textId="5234A07D" w:rsidR="00FF1294" w:rsidRPr="0030067C" w:rsidRDefault="00FF1294" w:rsidP="00A85016">
      <w:pPr>
        <w:pStyle w:val="Indention"/>
        <w:tabs>
          <w:tab w:val="left" w:pos="720"/>
          <w:tab w:val="left" w:pos="2160"/>
        </w:tabs>
        <w:ind w:left="2160" w:hanging="1440"/>
      </w:pPr>
      <w:r>
        <w:t>HCL-CEMS</w:t>
      </w:r>
      <w:r w:rsidRPr="0030067C">
        <w:tab/>
      </w:r>
      <w:r>
        <w:t>An HCl CEMS is used</w:t>
      </w:r>
    </w:p>
    <w:p w14:paraId="4270B62D" w14:textId="47FDC476" w:rsidR="002E59E3" w:rsidRPr="002E59E3" w:rsidRDefault="00FF1294" w:rsidP="00A85016">
      <w:pPr>
        <w:tabs>
          <w:tab w:val="left" w:pos="720"/>
          <w:tab w:val="left" w:pos="2160"/>
        </w:tabs>
        <w:ind w:left="2160" w:hanging="1440"/>
        <w:rPr>
          <w:b/>
        </w:rPr>
      </w:pPr>
      <w:r>
        <w:t>SO2</w:t>
      </w:r>
      <w:r w:rsidRPr="00110AE4">
        <w:t>-CEMS</w:t>
      </w:r>
      <w:r>
        <w:tab/>
        <w:t>An SO</w:t>
      </w:r>
      <w:r w:rsidRPr="00A8364F">
        <w:rPr>
          <w:vertAlign w:val="subscript"/>
        </w:rPr>
        <w:t>2</w:t>
      </w:r>
      <w:r>
        <w:t xml:space="preserve"> CEMS is used</w:t>
      </w:r>
    </w:p>
    <w:bookmarkEnd w:id="19"/>
    <w:bookmarkEnd w:id="20"/>
    <w:p w14:paraId="570357A7" w14:textId="77777777" w:rsidR="002E59E3" w:rsidRPr="00EF0801" w:rsidRDefault="002E59E3" w:rsidP="002E59E3">
      <w:pPr>
        <w:pBdr>
          <w:bottom w:val="double" w:sz="4" w:space="1" w:color="auto"/>
        </w:pBdr>
      </w:pPr>
    </w:p>
    <w:bookmarkStart w:id="21" w:name="Table_6b"/>
    <w:p w14:paraId="36467D3B" w14:textId="0E84B773" w:rsidR="002E59E3" w:rsidRDefault="00C4350F" w:rsidP="002B5D62">
      <w:pPr>
        <w:ind w:left="1440" w:hanging="1440"/>
        <w:rPr>
          <w:b/>
          <w:bCs/>
        </w:rPr>
      </w:pPr>
      <w:r w:rsidRPr="00273CFE">
        <w:rPr>
          <w:rStyle w:val="Hyperlink"/>
          <w:bCs/>
        </w:rPr>
        <w:fldChar w:fldCharType="begin"/>
      </w:r>
      <w:r w:rsidR="00765060">
        <w:rPr>
          <w:rStyle w:val="Hyperlink"/>
          <w:bCs/>
        </w:rPr>
        <w:instrText>HYPERLINK  \l "TBL6b" \o "Table 6b"</w:instrText>
      </w:r>
      <w:r w:rsidRPr="00273CFE">
        <w:rPr>
          <w:rStyle w:val="Hyperlink"/>
          <w:bCs/>
        </w:rPr>
      </w:r>
      <w:r w:rsidRPr="00273CFE">
        <w:rPr>
          <w:rStyle w:val="Hyperlink"/>
          <w:bCs/>
        </w:rPr>
        <w:fldChar w:fldCharType="separate"/>
      </w:r>
      <w:r w:rsidR="002E59E3" w:rsidRPr="00273CFE">
        <w:rPr>
          <w:rStyle w:val="Hyperlink"/>
          <w:b/>
          <w:bCs/>
        </w:rPr>
        <w:t>Table 6b</w:t>
      </w:r>
      <w:bookmarkEnd w:id="21"/>
      <w:r w:rsidRPr="00273CFE">
        <w:rPr>
          <w:rStyle w:val="Hyperlink"/>
          <w:bCs/>
        </w:rPr>
        <w:fldChar w:fldCharType="end"/>
      </w:r>
      <w:r w:rsidR="002E59E3" w:rsidRPr="00EF0801">
        <w:rPr>
          <w:b/>
        </w:rPr>
        <w:t>:</w:t>
      </w:r>
      <w:r w:rsidR="002E59E3" w:rsidRPr="00EF0801">
        <w:rPr>
          <w:b/>
        </w:rPr>
        <w:tab/>
        <w:t>Title 40 Code of Federal Regulations Part 63 (40 CFR Part 63)</w:t>
      </w:r>
      <w:r w:rsidR="002E59E3">
        <w:rPr>
          <w:b/>
        </w:rPr>
        <w:t xml:space="preserve">, </w:t>
      </w:r>
      <w:r w:rsidR="002E59E3" w:rsidRPr="00EF0801">
        <w:rPr>
          <w:b/>
        </w:rPr>
        <w:t xml:space="preserve">Subpart </w:t>
      </w:r>
      <w:r w:rsidR="002E59E3">
        <w:rPr>
          <w:b/>
        </w:rPr>
        <w:t>DDDDD</w:t>
      </w:r>
      <w:r w:rsidR="002E59E3" w:rsidRPr="00EF0801">
        <w:rPr>
          <w:b/>
        </w:rPr>
        <w:t xml:space="preserve">: </w:t>
      </w:r>
      <w:r w:rsidR="002E59E3" w:rsidRPr="00495923">
        <w:rPr>
          <w:b/>
          <w:bCs/>
        </w:rPr>
        <w:t xml:space="preserve">Industrial, Commercial, and </w:t>
      </w:r>
      <w:r w:rsidR="007C0D8B">
        <w:rPr>
          <w:b/>
          <w:bCs/>
        </w:rPr>
        <w:t>Institutional</w:t>
      </w:r>
      <w:r w:rsidR="007C0D8B" w:rsidRPr="00495923">
        <w:rPr>
          <w:b/>
          <w:bCs/>
        </w:rPr>
        <w:t xml:space="preserve"> </w:t>
      </w:r>
      <w:r w:rsidR="002E59E3">
        <w:rPr>
          <w:b/>
          <w:bCs/>
        </w:rPr>
        <w:t>Process Heater</w:t>
      </w:r>
      <w:r w:rsidR="002E59E3" w:rsidRPr="00495923">
        <w:rPr>
          <w:b/>
          <w:bCs/>
        </w:rPr>
        <w:t>s</w:t>
      </w:r>
    </w:p>
    <w:p w14:paraId="493F18EC" w14:textId="77777777" w:rsidR="002E59E3" w:rsidRDefault="002E59E3" w:rsidP="009A3869">
      <w:pPr>
        <w:pStyle w:val="ListParagraph"/>
        <w:numPr>
          <w:ilvl w:val="0"/>
          <w:numId w:val="24"/>
        </w:numPr>
        <w:tabs>
          <w:tab w:val="left" w:pos="547"/>
        </w:tabs>
        <w:spacing w:before="120"/>
        <w:ind w:left="547" w:hanging="547"/>
        <w:rPr>
          <w:b/>
          <w:bCs/>
        </w:rPr>
      </w:pPr>
      <w:r w:rsidRPr="00494396">
        <w:rPr>
          <w:b/>
        </w:rPr>
        <w:t>Complete this table</w:t>
      </w:r>
      <w:r>
        <w:rPr>
          <w:b/>
        </w:rPr>
        <w:t xml:space="preserve"> </w:t>
      </w:r>
      <w:r w:rsidRPr="00A11BC9">
        <w:rPr>
          <w:b/>
        </w:rPr>
        <w:t>only if “</w:t>
      </w:r>
      <w:r>
        <w:rPr>
          <w:b/>
        </w:rPr>
        <w:t xml:space="preserve">HCl-CMS” </w:t>
      </w:r>
      <w:r w:rsidRPr="00A11BC9">
        <w:rPr>
          <w:b/>
        </w:rPr>
        <w:t>is “</w:t>
      </w:r>
      <w:r>
        <w:rPr>
          <w:b/>
        </w:rPr>
        <w:t>NONE.”</w:t>
      </w:r>
      <w:r>
        <w:rPr>
          <w:b/>
          <w:bCs/>
        </w:rPr>
        <w:t xml:space="preserve"> </w:t>
      </w:r>
    </w:p>
    <w:p w14:paraId="14AC036F" w14:textId="77777777" w:rsidR="002E59E3" w:rsidRPr="00EF0801" w:rsidRDefault="002E59E3" w:rsidP="002E59E3">
      <w:pPr>
        <w:spacing w:after="0"/>
      </w:pPr>
      <w:r w:rsidRPr="00EF0801">
        <w:rPr>
          <w:b/>
        </w:rPr>
        <w:t>Unit ID No</w:t>
      </w:r>
      <w:r w:rsidRPr="00A85016">
        <w:rPr>
          <w:b/>
          <w:bCs/>
        </w:rPr>
        <w:t>.:</w:t>
      </w:r>
    </w:p>
    <w:p w14:paraId="260C69CE" w14:textId="77777777" w:rsidR="002E59E3" w:rsidRPr="00EF0801" w:rsidRDefault="002E59E3" w:rsidP="002E59E3">
      <w:r w:rsidRPr="00EF0801">
        <w:t>Enter the identification number (ID No.) for the unit (maximum 10 characters) as listed on Form OP SUM (Individual</w:t>
      </w:r>
      <w:r>
        <w:t> </w:t>
      </w:r>
      <w:r w:rsidRPr="00EF0801">
        <w:t>Unit Summary).</w:t>
      </w:r>
    </w:p>
    <w:p w14:paraId="4543CB51" w14:textId="77777777" w:rsidR="002E59E3" w:rsidRPr="00EF0801" w:rsidRDefault="002E59E3" w:rsidP="002E59E3">
      <w:pPr>
        <w:spacing w:after="0"/>
      </w:pPr>
      <w:r w:rsidRPr="0030067C">
        <w:rPr>
          <w:rStyle w:val="APDQuestion"/>
        </w:rPr>
        <w:t>SOP/</w:t>
      </w:r>
      <w:r w:rsidRPr="00EF0801">
        <w:rPr>
          <w:b/>
        </w:rPr>
        <w:t>GOP Index No.</w:t>
      </w:r>
      <w:r w:rsidRPr="00A85016">
        <w:rPr>
          <w:b/>
          <w:bCs/>
        </w:rPr>
        <w:t>:</w:t>
      </w:r>
    </w:p>
    <w:p w14:paraId="54DBC734" w14:textId="36929CD2" w:rsidR="002E59E3" w:rsidRDefault="002E59E3" w:rsidP="002E59E3">
      <w:r w:rsidRPr="00DC71B0">
        <w:rPr>
          <w:rFonts w:asciiTheme="majorHAnsi" w:hAnsiTheme="majorHAnsi" w:cstheme="majorHAnsi"/>
        </w:rPr>
        <w:t>Site operating permit (SOP) applicants should indicate the SOP index number for the unit or group of units (maximum</w:t>
      </w:r>
      <w:r>
        <w:rPr>
          <w:rFonts w:asciiTheme="majorHAnsi" w:hAnsiTheme="majorHAnsi" w:cstheme="majorHAnsi"/>
        </w:rPr>
        <w:t> </w:t>
      </w:r>
      <w:r w:rsidRPr="00DC71B0">
        <w:rPr>
          <w:rFonts w:asciiTheme="majorHAnsi" w:hAnsiTheme="majorHAnsi" w:cstheme="majorHAnsi"/>
        </w:rPr>
        <w:t>15</w:t>
      </w:r>
      <w:r>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A71097" w:rsidRPr="00436B50">
        <w:rPr>
          <w:rFonts w:cs="Times New Roman"/>
        </w:rPr>
        <w:t xml:space="preserve">For additional information relating to SOP and GOP index numbers, please see the Completing FOP Applications – Additional Guidance on the TCEQ website at </w:t>
      </w:r>
      <w:hyperlink r:id="rId21" w:tooltip="TCEQ - Completing FOP Applications - Additional Guidance" w:history="1">
        <w:r w:rsidR="00A71097" w:rsidRPr="00273CFE">
          <w:rPr>
            <w:rStyle w:val="Hyperlink"/>
          </w:rPr>
          <w:t>www.tceq.texas.gov/permitting/air/guidance/titlev/tv_fop_guidance.html</w:t>
        </w:r>
      </w:hyperlink>
      <w:r w:rsidRPr="00793C3D">
        <w:rPr>
          <w:rStyle w:val="Hyperlink"/>
          <w:color w:val="auto"/>
          <w:u w:val="none"/>
        </w:rPr>
        <w:t>.</w:t>
      </w:r>
    </w:p>
    <w:p w14:paraId="0E75FB7F" w14:textId="77777777" w:rsidR="002E59E3" w:rsidRDefault="002E59E3" w:rsidP="009A3869">
      <w:pPr>
        <w:tabs>
          <w:tab w:val="left" w:pos="0"/>
        </w:tabs>
        <w:spacing w:after="0"/>
        <w:rPr>
          <w:b/>
        </w:rPr>
      </w:pPr>
      <w:r>
        <w:rPr>
          <w:b/>
        </w:rPr>
        <w:lastRenderedPageBreak/>
        <w:t>HCl-CD:</w:t>
      </w:r>
    </w:p>
    <w:p w14:paraId="5F3DF64D" w14:textId="77777777" w:rsidR="002E59E3" w:rsidRDefault="002E59E3" w:rsidP="009A3869">
      <w:pPr>
        <w:tabs>
          <w:tab w:val="left" w:pos="0"/>
        </w:tabs>
        <w:rPr>
          <w:bCs/>
        </w:rPr>
      </w:pPr>
      <w:r>
        <w:rPr>
          <w:bCs/>
        </w:rPr>
        <w:t>Select one of the following hydrogen chloride control device options. Enter the code on the form.</w:t>
      </w:r>
    </w:p>
    <w:p w14:paraId="671EC688" w14:textId="3EF5C91C" w:rsidR="002E59E3" w:rsidRDefault="002E59E3" w:rsidP="00A85016">
      <w:pPr>
        <w:tabs>
          <w:tab w:val="left" w:pos="720"/>
          <w:tab w:val="left" w:pos="2160"/>
        </w:tabs>
        <w:spacing w:after="0"/>
        <w:ind w:left="2160" w:hanging="1440"/>
        <w:rPr>
          <w:b/>
        </w:rPr>
      </w:pPr>
      <w:r>
        <w:rPr>
          <w:b/>
        </w:rPr>
        <w:t>Code</w:t>
      </w:r>
      <w:r>
        <w:rPr>
          <w:b/>
        </w:rPr>
        <w:tab/>
        <w:t>Description</w:t>
      </w:r>
    </w:p>
    <w:p w14:paraId="22B33217" w14:textId="1A97DA98" w:rsidR="002E59E3" w:rsidRPr="0030067C" w:rsidRDefault="002E59E3" w:rsidP="00A85016">
      <w:pPr>
        <w:pStyle w:val="Indention"/>
        <w:tabs>
          <w:tab w:val="left" w:pos="720"/>
          <w:tab w:val="left" w:pos="2160"/>
        </w:tabs>
        <w:ind w:left="2160" w:hanging="1440"/>
      </w:pPr>
      <w:r>
        <w:t>DS</w:t>
      </w:r>
      <w:r w:rsidRPr="0030067C">
        <w:tab/>
      </w:r>
      <w:r>
        <w:t>Dry scrubber is being used</w:t>
      </w:r>
    </w:p>
    <w:p w14:paraId="4F95584C" w14:textId="4EA9BED4" w:rsidR="002E59E3" w:rsidRPr="0030067C" w:rsidRDefault="002E59E3" w:rsidP="00A85016">
      <w:pPr>
        <w:pStyle w:val="Indention"/>
        <w:tabs>
          <w:tab w:val="left" w:pos="720"/>
          <w:tab w:val="left" w:pos="2160"/>
        </w:tabs>
        <w:ind w:left="2160" w:hanging="1440"/>
      </w:pPr>
      <w:r>
        <w:t>WAS</w:t>
      </w:r>
      <w:r w:rsidRPr="0030067C">
        <w:tab/>
      </w:r>
      <w:r>
        <w:t>A wet acid scrubber is used</w:t>
      </w:r>
    </w:p>
    <w:p w14:paraId="0257575C" w14:textId="610A9B0A" w:rsidR="008F2630" w:rsidRDefault="002E59E3" w:rsidP="008F2630">
      <w:pPr>
        <w:tabs>
          <w:tab w:val="left" w:pos="720"/>
          <w:tab w:val="left" w:pos="2160"/>
        </w:tabs>
        <w:spacing w:after="0"/>
        <w:ind w:left="2160" w:hanging="1440"/>
      </w:pPr>
      <w:r>
        <w:t>PWS-PH</w:t>
      </w:r>
      <w:r>
        <w:tab/>
        <w:t>A particulate wet scrubber with pH effluent operating limit</w:t>
      </w:r>
    </w:p>
    <w:p w14:paraId="270A25CA" w14:textId="6EEAA82B" w:rsidR="008F2630" w:rsidRDefault="008F2630" w:rsidP="008F2630">
      <w:pPr>
        <w:tabs>
          <w:tab w:val="left" w:pos="720"/>
          <w:tab w:val="left" w:pos="2160"/>
        </w:tabs>
        <w:spacing w:after="0"/>
        <w:ind w:left="2160" w:hanging="1440"/>
      </w:pPr>
      <w:r>
        <w:t>OTHER</w:t>
      </w:r>
      <w:r>
        <w:tab/>
      </w:r>
      <w:bookmarkStart w:id="22" w:name="_Hlk140240734"/>
      <w:proofErr w:type="spellStart"/>
      <w:r>
        <w:t>Other</w:t>
      </w:r>
      <w:proofErr w:type="spellEnd"/>
      <w:r>
        <w:t xml:space="preserve"> control methods are being used</w:t>
      </w:r>
    </w:p>
    <w:bookmarkEnd w:id="22"/>
    <w:p w14:paraId="0683F306" w14:textId="4EF08CE5" w:rsidR="008F2630" w:rsidRPr="00273CFE" w:rsidRDefault="008F2630" w:rsidP="00A85016">
      <w:pPr>
        <w:tabs>
          <w:tab w:val="left" w:pos="720"/>
          <w:tab w:val="left" w:pos="2160"/>
        </w:tabs>
        <w:ind w:left="2160" w:hanging="1440"/>
      </w:pPr>
      <w:proofErr w:type="gramStart"/>
      <w:r>
        <w:t>NONE</w:t>
      </w:r>
      <w:proofErr w:type="gramEnd"/>
      <w:r>
        <w:tab/>
        <w:t>A control device is not used</w:t>
      </w:r>
    </w:p>
    <w:p w14:paraId="740039C1" w14:textId="77777777" w:rsidR="002E59E3" w:rsidRDefault="002E59E3" w:rsidP="009A3869">
      <w:pPr>
        <w:tabs>
          <w:tab w:val="left" w:pos="0"/>
        </w:tabs>
        <w:spacing w:after="0"/>
        <w:rPr>
          <w:b/>
        </w:rPr>
      </w:pPr>
      <w:r>
        <w:rPr>
          <w:b/>
        </w:rPr>
        <w:t>HCl-Test:</w:t>
      </w:r>
    </w:p>
    <w:p w14:paraId="47B499AC" w14:textId="77777777" w:rsidR="002E59E3" w:rsidRDefault="002E59E3" w:rsidP="009A3869">
      <w:pPr>
        <w:tabs>
          <w:tab w:val="left" w:pos="0"/>
        </w:tabs>
        <w:spacing w:after="0"/>
        <w:rPr>
          <w:bCs/>
        </w:rPr>
      </w:pPr>
      <w:r>
        <w:rPr>
          <w:bCs/>
        </w:rPr>
        <w:t>Select one of the following hydrogen chloride performance test options. Enter the code on the form.</w:t>
      </w:r>
    </w:p>
    <w:p w14:paraId="76783F5C" w14:textId="1618DA92" w:rsidR="002E59E3" w:rsidRDefault="002E59E3" w:rsidP="00334E26">
      <w:pPr>
        <w:tabs>
          <w:tab w:val="left" w:pos="720"/>
          <w:tab w:val="left" w:pos="2160"/>
        </w:tabs>
        <w:spacing w:before="120" w:after="0"/>
        <w:ind w:left="2160" w:hanging="1440"/>
        <w:rPr>
          <w:b/>
        </w:rPr>
      </w:pPr>
      <w:r>
        <w:rPr>
          <w:b/>
        </w:rPr>
        <w:t>Code</w:t>
      </w:r>
      <w:r>
        <w:rPr>
          <w:b/>
        </w:rPr>
        <w:tab/>
        <w:t>Description</w:t>
      </w:r>
    </w:p>
    <w:p w14:paraId="7E23B17E" w14:textId="7D59FEC9" w:rsidR="002E59E3" w:rsidRPr="0030067C" w:rsidRDefault="002E59E3" w:rsidP="00334E26">
      <w:pPr>
        <w:pStyle w:val="Indention"/>
        <w:tabs>
          <w:tab w:val="left" w:pos="720"/>
          <w:tab w:val="left" w:pos="2160"/>
        </w:tabs>
        <w:ind w:left="2160" w:hanging="1440"/>
      </w:pPr>
      <w:r>
        <w:t>PT</w:t>
      </w:r>
      <w:r w:rsidRPr="0030067C">
        <w:tab/>
      </w:r>
      <w:r>
        <w:t>Compliance is demonstrated by conducting a performance test for HCl</w:t>
      </w:r>
    </w:p>
    <w:p w14:paraId="3A5D1F64" w14:textId="00906946" w:rsidR="002E59E3" w:rsidRPr="0030067C" w:rsidRDefault="002E59E3" w:rsidP="00334E26">
      <w:pPr>
        <w:pStyle w:val="Indention"/>
        <w:tabs>
          <w:tab w:val="left" w:pos="720"/>
          <w:tab w:val="left" w:pos="2160"/>
        </w:tabs>
        <w:ind w:left="2160" w:hanging="1440"/>
      </w:pPr>
      <w:r>
        <w:t>NPT</w:t>
      </w:r>
      <w:r w:rsidRPr="0030067C">
        <w:tab/>
      </w:r>
      <w:r>
        <w:t>A performance test is not being used</w:t>
      </w:r>
    </w:p>
    <w:p w14:paraId="218A1978" w14:textId="77777777" w:rsidR="002E59E3" w:rsidRDefault="002E59E3" w:rsidP="009A3869">
      <w:pPr>
        <w:tabs>
          <w:tab w:val="left" w:pos="0"/>
        </w:tabs>
        <w:spacing w:before="120" w:after="0"/>
        <w:rPr>
          <w:b/>
        </w:rPr>
      </w:pPr>
      <w:r>
        <w:rPr>
          <w:b/>
        </w:rPr>
        <w:t>HCl-FA:</w:t>
      </w:r>
    </w:p>
    <w:p w14:paraId="49FFD7C6" w14:textId="77777777" w:rsidR="002E59E3" w:rsidRDefault="002E59E3" w:rsidP="009A3869">
      <w:pPr>
        <w:tabs>
          <w:tab w:val="left" w:pos="0"/>
        </w:tabs>
        <w:rPr>
          <w:bCs/>
        </w:rPr>
      </w:pPr>
      <w:r>
        <w:rPr>
          <w:bCs/>
        </w:rPr>
        <w:t>Select one of the following hydrogen chloride fuel analysis options. Enter the code on the form.</w:t>
      </w:r>
    </w:p>
    <w:p w14:paraId="7705B632" w14:textId="6057B306" w:rsidR="002E59E3" w:rsidRDefault="002E59E3" w:rsidP="00F94A09">
      <w:pPr>
        <w:tabs>
          <w:tab w:val="left" w:pos="720"/>
          <w:tab w:val="left" w:pos="2160"/>
        </w:tabs>
        <w:spacing w:after="0"/>
        <w:ind w:left="2160" w:hanging="1440"/>
        <w:rPr>
          <w:b/>
        </w:rPr>
      </w:pPr>
      <w:r>
        <w:rPr>
          <w:b/>
        </w:rPr>
        <w:t>Code</w:t>
      </w:r>
      <w:r>
        <w:rPr>
          <w:b/>
        </w:rPr>
        <w:tab/>
        <w:t>Description</w:t>
      </w:r>
    </w:p>
    <w:p w14:paraId="312B9241" w14:textId="3F234678" w:rsidR="002E59E3" w:rsidRPr="0030067C" w:rsidRDefault="002E59E3" w:rsidP="00F94A09">
      <w:pPr>
        <w:pStyle w:val="Indention"/>
        <w:tabs>
          <w:tab w:val="left" w:pos="720"/>
          <w:tab w:val="left" w:pos="2160"/>
        </w:tabs>
        <w:ind w:left="2160" w:hanging="1440"/>
      </w:pPr>
      <w:r>
        <w:t>FA</w:t>
      </w:r>
      <w:r w:rsidRPr="0030067C">
        <w:tab/>
      </w:r>
      <w:r>
        <w:t>Compliance is demonstrated by conducting fuel analysis for HCl</w:t>
      </w:r>
    </w:p>
    <w:p w14:paraId="6F968547" w14:textId="47535198" w:rsidR="002E59E3" w:rsidRPr="0030067C" w:rsidRDefault="002E59E3" w:rsidP="00F94A09">
      <w:pPr>
        <w:pStyle w:val="Indention"/>
        <w:tabs>
          <w:tab w:val="left" w:pos="720"/>
          <w:tab w:val="left" w:pos="2160"/>
        </w:tabs>
        <w:spacing w:after="120"/>
        <w:ind w:left="2160" w:hanging="1440"/>
      </w:pPr>
      <w:r>
        <w:t>NFA</w:t>
      </w:r>
      <w:r w:rsidRPr="0030067C">
        <w:tab/>
      </w:r>
      <w:r>
        <w:t>Fuel analysis is not being used</w:t>
      </w:r>
    </w:p>
    <w:p w14:paraId="7C83E170" w14:textId="77777777" w:rsidR="002E59E3" w:rsidRDefault="002E59E3" w:rsidP="009A3869">
      <w:pPr>
        <w:tabs>
          <w:tab w:val="left" w:pos="0"/>
        </w:tabs>
        <w:spacing w:after="0"/>
        <w:rPr>
          <w:b/>
        </w:rPr>
      </w:pPr>
      <w:r>
        <w:rPr>
          <w:b/>
        </w:rPr>
        <w:t>HCl-</w:t>
      </w:r>
      <w:proofErr w:type="spellStart"/>
      <w:r>
        <w:rPr>
          <w:b/>
        </w:rPr>
        <w:t>FloMon</w:t>
      </w:r>
      <w:proofErr w:type="spellEnd"/>
      <w:r>
        <w:rPr>
          <w:b/>
        </w:rPr>
        <w:t>:</w:t>
      </w:r>
    </w:p>
    <w:p w14:paraId="6A6C6E36" w14:textId="77777777" w:rsidR="002E59E3" w:rsidRDefault="002E59E3" w:rsidP="009A3869">
      <w:pPr>
        <w:tabs>
          <w:tab w:val="left" w:pos="0"/>
        </w:tabs>
        <w:rPr>
          <w:bCs/>
        </w:rPr>
      </w:pPr>
      <w:r>
        <w:rPr>
          <w:bCs/>
        </w:rPr>
        <w:t>Select one of the following hydrogen chloride flow monitoring system options. Enter the code on the form.</w:t>
      </w:r>
    </w:p>
    <w:p w14:paraId="5CCCF671" w14:textId="58C7678B" w:rsidR="002E59E3" w:rsidRDefault="002E59E3" w:rsidP="00F94A09">
      <w:pPr>
        <w:tabs>
          <w:tab w:val="left" w:pos="720"/>
          <w:tab w:val="left" w:pos="2160"/>
        </w:tabs>
        <w:spacing w:after="0"/>
        <w:ind w:left="2160" w:hanging="1440"/>
        <w:rPr>
          <w:b/>
        </w:rPr>
      </w:pPr>
      <w:r>
        <w:rPr>
          <w:b/>
        </w:rPr>
        <w:t>Code</w:t>
      </w:r>
      <w:r>
        <w:rPr>
          <w:b/>
        </w:rPr>
        <w:tab/>
        <w:t>Description</w:t>
      </w:r>
    </w:p>
    <w:p w14:paraId="3E172B50" w14:textId="626E1E04" w:rsidR="002E59E3" w:rsidRPr="0030067C" w:rsidRDefault="002E59E3" w:rsidP="00F94A09">
      <w:pPr>
        <w:pStyle w:val="Indention"/>
        <w:tabs>
          <w:tab w:val="left" w:pos="720"/>
          <w:tab w:val="left" w:pos="2160"/>
        </w:tabs>
        <w:ind w:left="2160" w:hanging="1440"/>
      </w:pPr>
      <w:r>
        <w:t>FMS</w:t>
      </w:r>
      <w:r w:rsidRPr="0030067C">
        <w:tab/>
      </w:r>
      <w:r>
        <w:t>Operating limit requires a flow monitoring system for HCl</w:t>
      </w:r>
    </w:p>
    <w:p w14:paraId="19E562DF" w14:textId="35826B93" w:rsidR="002E59E3" w:rsidRPr="0030067C" w:rsidRDefault="002E59E3" w:rsidP="00F94A09">
      <w:pPr>
        <w:pStyle w:val="Indention"/>
        <w:tabs>
          <w:tab w:val="left" w:pos="720"/>
          <w:tab w:val="left" w:pos="2160"/>
        </w:tabs>
        <w:spacing w:after="120"/>
        <w:ind w:left="2160" w:hanging="1440"/>
      </w:pPr>
      <w:r>
        <w:t>NFMS</w:t>
      </w:r>
      <w:r w:rsidRPr="0030067C">
        <w:tab/>
      </w:r>
      <w:r>
        <w:t>Flow monitoring system is not required for HCl</w:t>
      </w:r>
    </w:p>
    <w:p w14:paraId="100ED171" w14:textId="77777777" w:rsidR="002E59E3" w:rsidRDefault="002E59E3" w:rsidP="009A3869">
      <w:pPr>
        <w:tabs>
          <w:tab w:val="left" w:pos="0"/>
        </w:tabs>
        <w:spacing w:after="0"/>
        <w:rPr>
          <w:b/>
        </w:rPr>
      </w:pPr>
      <w:r>
        <w:rPr>
          <w:b/>
        </w:rPr>
        <w:t>HCl-</w:t>
      </w:r>
      <w:proofErr w:type="spellStart"/>
      <w:r>
        <w:rPr>
          <w:b/>
        </w:rPr>
        <w:t>pHMon</w:t>
      </w:r>
      <w:proofErr w:type="spellEnd"/>
      <w:r>
        <w:rPr>
          <w:b/>
        </w:rPr>
        <w:t>:</w:t>
      </w:r>
    </w:p>
    <w:p w14:paraId="23859A05" w14:textId="77777777" w:rsidR="002E59E3" w:rsidRDefault="002E59E3" w:rsidP="009A3869">
      <w:pPr>
        <w:tabs>
          <w:tab w:val="left" w:pos="0"/>
        </w:tabs>
        <w:rPr>
          <w:bCs/>
        </w:rPr>
      </w:pPr>
      <w:r>
        <w:rPr>
          <w:bCs/>
        </w:rPr>
        <w:t>Select one of the following hydrogen chloride pH monitoring system options. Enter the code on the form.</w:t>
      </w:r>
    </w:p>
    <w:p w14:paraId="57726D9C" w14:textId="20EDE3CF" w:rsidR="002E59E3" w:rsidRDefault="002E59E3" w:rsidP="00F94A09">
      <w:pPr>
        <w:tabs>
          <w:tab w:val="left" w:pos="720"/>
          <w:tab w:val="left" w:pos="2160"/>
        </w:tabs>
        <w:spacing w:after="0"/>
        <w:ind w:left="2160" w:hanging="1440"/>
        <w:rPr>
          <w:b/>
        </w:rPr>
      </w:pPr>
      <w:r>
        <w:rPr>
          <w:b/>
        </w:rPr>
        <w:t>Code</w:t>
      </w:r>
      <w:r>
        <w:rPr>
          <w:b/>
        </w:rPr>
        <w:tab/>
        <w:t>Description</w:t>
      </w:r>
    </w:p>
    <w:p w14:paraId="5BE3D190" w14:textId="6765C45C" w:rsidR="002E59E3" w:rsidRPr="0030067C" w:rsidRDefault="002E59E3" w:rsidP="00F94A09">
      <w:pPr>
        <w:pStyle w:val="Indention"/>
        <w:tabs>
          <w:tab w:val="left" w:pos="720"/>
          <w:tab w:val="left" w:pos="2160"/>
        </w:tabs>
        <w:ind w:left="2160" w:hanging="1440"/>
      </w:pPr>
      <w:r>
        <w:t>PHMON</w:t>
      </w:r>
      <w:r w:rsidRPr="0030067C">
        <w:tab/>
      </w:r>
      <w:r>
        <w:t>Operating limit requires a pH monitoring system for HCl</w:t>
      </w:r>
    </w:p>
    <w:p w14:paraId="4DEB5DA0" w14:textId="462AF515" w:rsidR="002E59E3" w:rsidRDefault="002E59E3" w:rsidP="00F94A09">
      <w:pPr>
        <w:pStyle w:val="Indention"/>
        <w:tabs>
          <w:tab w:val="left" w:pos="720"/>
          <w:tab w:val="left" w:pos="2160"/>
        </w:tabs>
        <w:spacing w:after="120"/>
        <w:ind w:left="2160" w:hanging="1440"/>
      </w:pPr>
      <w:r>
        <w:t>NPH</w:t>
      </w:r>
      <w:r w:rsidRPr="0030067C">
        <w:tab/>
      </w:r>
      <w:r>
        <w:t>A pH monitoring system is not required for HCl</w:t>
      </w:r>
    </w:p>
    <w:p w14:paraId="7506DDAC" w14:textId="77777777" w:rsidR="002E59E3" w:rsidRPr="00EF0801" w:rsidRDefault="002E59E3" w:rsidP="002E59E3">
      <w:pPr>
        <w:pBdr>
          <w:bottom w:val="double" w:sz="4" w:space="1" w:color="auto"/>
        </w:pBdr>
      </w:pPr>
    </w:p>
    <w:bookmarkStart w:id="23" w:name="Table_6c"/>
    <w:p w14:paraId="2372FA2F" w14:textId="75E673BF" w:rsidR="002E59E3" w:rsidRDefault="00C4350F" w:rsidP="002B5D62">
      <w:pPr>
        <w:ind w:left="1440" w:hanging="1440"/>
        <w:rPr>
          <w:b/>
          <w:bCs/>
        </w:rPr>
      </w:pPr>
      <w:r w:rsidRPr="00273CFE">
        <w:rPr>
          <w:rStyle w:val="Hyperlink"/>
          <w:bCs/>
        </w:rPr>
        <w:fldChar w:fldCharType="begin"/>
      </w:r>
      <w:r w:rsidR="00765060">
        <w:rPr>
          <w:rStyle w:val="Hyperlink"/>
          <w:bCs/>
        </w:rPr>
        <w:instrText>HYPERLINK  \l "TBL6c" \o "Table 6c"</w:instrText>
      </w:r>
      <w:r w:rsidRPr="00273CFE">
        <w:rPr>
          <w:rStyle w:val="Hyperlink"/>
          <w:bCs/>
        </w:rPr>
      </w:r>
      <w:r w:rsidRPr="00273CFE">
        <w:rPr>
          <w:rStyle w:val="Hyperlink"/>
          <w:bCs/>
        </w:rPr>
        <w:fldChar w:fldCharType="separate"/>
      </w:r>
      <w:r w:rsidR="002E59E3" w:rsidRPr="00273CFE">
        <w:rPr>
          <w:rStyle w:val="Hyperlink"/>
          <w:b/>
          <w:bCs/>
        </w:rPr>
        <w:t>Table 6c</w:t>
      </w:r>
      <w:bookmarkEnd w:id="23"/>
      <w:r w:rsidRPr="00273CFE">
        <w:rPr>
          <w:rStyle w:val="Hyperlink"/>
          <w:bCs/>
        </w:rPr>
        <w:fldChar w:fldCharType="end"/>
      </w:r>
      <w:r w:rsidR="002E59E3">
        <w:rPr>
          <w:b/>
        </w:rPr>
        <w:t>:</w:t>
      </w:r>
      <w:r w:rsidR="002E59E3" w:rsidRPr="00EF0801">
        <w:rPr>
          <w:b/>
        </w:rPr>
        <w:tab/>
        <w:t>Title 40 Code of Federal Regulations Part 63 (40 CFR Part 63)</w:t>
      </w:r>
      <w:r w:rsidR="002E59E3">
        <w:rPr>
          <w:b/>
        </w:rPr>
        <w:t xml:space="preserve">, </w:t>
      </w:r>
      <w:r w:rsidR="002E59E3" w:rsidRPr="00EF0801">
        <w:rPr>
          <w:b/>
        </w:rPr>
        <w:t xml:space="preserve">Subpart </w:t>
      </w:r>
      <w:r w:rsidR="002E59E3">
        <w:rPr>
          <w:b/>
        </w:rPr>
        <w:t>DDDDD</w:t>
      </w:r>
      <w:r w:rsidR="002E59E3" w:rsidRPr="00EF0801">
        <w:rPr>
          <w:b/>
        </w:rPr>
        <w:t xml:space="preserve">: </w:t>
      </w:r>
      <w:r w:rsidR="002E59E3" w:rsidRPr="00495923">
        <w:rPr>
          <w:b/>
          <w:bCs/>
        </w:rPr>
        <w:t xml:space="preserve">Industrial, Commercial, and </w:t>
      </w:r>
      <w:r w:rsidR="007C0D8B">
        <w:rPr>
          <w:b/>
          <w:bCs/>
        </w:rPr>
        <w:t>Institutional</w:t>
      </w:r>
      <w:r w:rsidR="007C0D8B" w:rsidRPr="00495923">
        <w:rPr>
          <w:b/>
          <w:bCs/>
        </w:rPr>
        <w:t xml:space="preserve"> </w:t>
      </w:r>
      <w:r w:rsidR="002E59E3">
        <w:rPr>
          <w:b/>
          <w:bCs/>
        </w:rPr>
        <w:t>Process Heater</w:t>
      </w:r>
      <w:r w:rsidR="002E59E3" w:rsidRPr="00495923">
        <w:rPr>
          <w:b/>
          <w:bCs/>
        </w:rPr>
        <w:t>s</w:t>
      </w:r>
      <w:r w:rsidR="002E59E3">
        <w:rPr>
          <w:b/>
          <w:bCs/>
        </w:rPr>
        <w:t xml:space="preserve"> </w:t>
      </w:r>
    </w:p>
    <w:p w14:paraId="0CF4A9BB" w14:textId="77777777" w:rsidR="002E59E3" w:rsidRPr="00EF0801" w:rsidRDefault="002E59E3" w:rsidP="009A3869">
      <w:pPr>
        <w:tabs>
          <w:tab w:val="left" w:pos="0"/>
        </w:tabs>
        <w:spacing w:after="0"/>
      </w:pPr>
      <w:r w:rsidRPr="00EF0801">
        <w:rPr>
          <w:b/>
        </w:rPr>
        <w:t>Unit ID No</w:t>
      </w:r>
      <w:r w:rsidRPr="00A85016">
        <w:rPr>
          <w:b/>
          <w:bCs/>
        </w:rPr>
        <w:t>.:</w:t>
      </w:r>
    </w:p>
    <w:p w14:paraId="21201771" w14:textId="77777777" w:rsidR="002E59E3" w:rsidRPr="00EF0801" w:rsidRDefault="002E59E3" w:rsidP="009A3869">
      <w:pPr>
        <w:tabs>
          <w:tab w:val="left" w:pos="0"/>
        </w:tabs>
      </w:pPr>
      <w:r w:rsidRPr="00EF0801">
        <w:t>Enter the identification number (ID No.) for the unit (maximum 10 characters) as listed on Form OP SUM (Individual</w:t>
      </w:r>
      <w:r>
        <w:t> </w:t>
      </w:r>
      <w:r w:rsidRPr="00EF0801">
        <w:t>Unit Summary).</w:t>
      </w:r>
    </w:p>
    <w:p w14:paraId="67301FD7" w14:textId="77777777" w:rsidR="002E59E3" w:rsidRPr="00EF0801" w:rsidRDefault="002E59E3" w:rsidP="009A3869">
      <w:pPr>
        <w:tabs>
          <w:tab w:val="left" w:pos="0"/>
        </w:tabs>
        <w:spacing w:after="0"/>
      </w:pPr>
      <w:r w:rsidRPr="0030067C">
        <w:rPr>
          <w:rStyle w:val="APDQuestion"/>
        </w:rPr>
        <w:t>SOP/</w:t>
      </w:r>
      <w:r w:rsidRPr="00EF0801">
        <w:rPr>
          <w:b/>
        </w:rPr>
        <w:t>GOP Index No.</w:t>
      </w:r>
      <w:r w:rsidRPr="00A85016">
        <w:rPr>
          <w:b/>
          <w:bCs/>
        </w:rPr>
        <w:t>:</w:t>
      </w:r>
    </w:p>
    <w:p w14:paraId="3C427A7C" w14:textId="49E5613E" w:rsidR="002E59E3" w:rsidRPr="00793C3D" w:rsidRDefault="002E59E3" w:rsidP="009A3869">
      <w:pPr>
        <w:tabs>
          <w:tab w:val="left" w:pos="0"/>
        </w:tabs>
      </w:pPr>
      <w:r w:rsidRPr="00DC71B0">
        <w:rPr>
          <w:rFonts w:asciiTheme="majorHAnsi" w:hAnsiTheme="majorHAnsi" w:cstheme="majorHAnsi"/>
        </w:rPr>
        <w:t>Site operating permit (SOP) applicants should indicate the SOP index number for the unit or group of units (maximum</w:t>
      </w:r>
      <w:r>
        <w:rPr>
          <w:rFonts w:asciiTheme="majorHAnsi" w:hAnsiTheme="majorHAnsi" w:cstheme="majorHAnsi"/>
        </w:rPr>
        <w:t> </w:t>
      </w:r>
      <w:r w:rsidRPr="00DC71B0">
        <w:rPr>
          <w:rFonts w:asciiTheme="majorHAnsi" w:hAnsiTheme="majorHAnsi" w:cstheme="majorHAnsi"/>
        </w:rPr>
        <w:t>15</w:t>
      </w:r>
      <w:r>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5229A3" w:rsidRPr="00436B50">
        <w:rPr>
          <w:rFonts w:cs="Times New Roman"/>
        </w:rPr>
        <w:t xml:space="preserve">For additional information relating to SOP and GOP index numbers, please see the Completing FOP Applications – Additional Guidance on the TCEQ website at </w:t>
      </w:r>
      <w:hyperlink r:id="rId22" w:tooltip="TCEQ - Completing FOP Applications - Additional Guidance" w:history="1">
        <w:r w:rsidR="005229A3" w:rsidRPr="00273CFE">
          <w:rPr>
            <w:rStyle w:val="Hyperlink"/>
          </w:rPr>
          <w:t>www.tceq.texas.gov/permitting/air/guidance/titlev/tv_fop_guidance.html</w:t>
        </w:r>
      </w:hyperlink>
      <w:r w:rsidRPr="00793C3D">
        <w:rPr>
          <w:rStyle w:val="Hyperlink"/>
          <w:color w:val="auto"/>
          <w:u w:val="none"/>
        </w:rPr>
        <w:t>.</w:t>
      </w:r>
    </w:p>
    <w:p w14:paraId="32F3D30C" w14:textId="77777777" w:rsidR="00F94A09" w:rsidRDefault="00F94A09">
      <w:pPr>
        <w:rPr>
          <w:rFonts w:asciiTheme="majorHAnsi" w:hAnsiTheme="majorHAnsi" w:cstheme="majorHAnsi"/>
          <w:b/>
          <w:bCs/>
        </w:rPr>
      </w:pPr>
      <w:r>
        <w:rPr>
          <w:rFonts w:asciiTheme="majorHAnsi" w:hAnsiTheme="majorHAnsi" w:cstheme="majorHAnsi"/>
          <w:b/>
          <w:bCs/>
        </w:rPr>
        <w:br w:type="page"/>
      </w:r>
    </w:p>
    <w:p w14:paraId="7540D9AF" w14:textId="2B95F564" w:rsidR="00671244" w:rsidRPr="00671244" w:rsidRDefault="00671244" w:rsidP="000B55BA">
      <w:pPr>
        <w:tabs>
          <w:tab w:val="left" w:pos="0"/>
        </w:tabs>
        <w:spacing w:after="0"/>
        <w:rPr>
          <w:rFonts w:asciiTheme="majorHAnsi" w:hAnsiTheme="majorHAnsi" w:cstheme="majorHAnsi"/>
          <w:b/>
          <w:bCs/>
        </w:rPr>
      </w:pPr>
      <w:r w:rsidRPr="00671244">
        <w:rPr>
          <w:rFonts w:asciiTheme="majorHAnsi" w:hAnsiTheme="majorHAnsi" w:cstheme="majorHAnsi"/>
          <w:b/>
          <w:bCs/>
        </w:rPr>
        <w:lastRenderedPageBreak/>
        <w:t>Hg Emission:</w:t>
      </w:r>
    </w:p>
    <w:p w14:paraId="4876772F" w14:textId="03728F39" w:rsidR="00671244" w:rsidRDefault="00671244" w:rsidP="000B55BA">
      <w:pPr>
        <w:tabs>
          <w:tab w:val="left" w:pos="0"/>
        </w:tabs>
        <w:rPr>
          <w:rFonts w:asciiTheme="majorHAnsi" w:hAnsiTheme="majorHAnsi" w:cstheme="majorHAnsi"/>
          <w:b/>
          <w:bCs/>
        </w:rPr>
      </w:pPr>
      <w:r w:rsidRPr="00671244">
        <w:rPr>
          <w:rFonts w:asciiTheme="majorHAnsi" w:hAnsiTheme="majorHAnsi" w:cstheme="majorHAnsi"/>
        </w:rPr>
        <w:t>Select one of the following hydrogen chloride emission limit options. Enter the code on the form.</w:t>
      </w:r>
    </w:p>
    <w:p w14:paraId="42AE8223" w14:textId="47DEC69E" w:rsidR="002E59E3" w:rsidRDefault="002E59E3" w:rsidP="00671244">
      <w:pPr>
        <w:tabs>
          <w:tab w:val="left" w:pos="720"/>
          <w:tab w:val="left" w:pos="2160"/>
        </w:tabs>
        <w:spacing w:after="0"/>
        <w:ind w:left="2160" w:hanging="1440"/>
        <w:rPr>
          <w:b/>
          <w:bCs/>
        </w:rPr>
      </w:pPr>
      <w:r>
        <w:rPr>
          <w:b/>
          <w:bCs/>
        </w:rPr>
        <w:t>Code</w:t>
      </w:r>
      <w:r>
        <w:rPr>
          <w:b/>
          <w:bCs/>
        </w:rPr>
        <w:tab/>
        <w:t>Description</w:t>
      </w:r>
    </w:p>
    <w:p w14:paraId="427882E1" w14:textId="45DBB621" w:rsidR="002E59E3" w:rsidRPr="0030067C" w:rsidRDefault="002E59E3" w:rsidP="002B5D62">
      <w:pPr>
        <w:pStyle w:val="Indention"/>
        <w:tabs>
          <w:tab w:val="left" w:pos="720"/>
          <w:tab w:val="left" w:pos="2160"/>
        </w:tabs>
        <w:ind w:left="2160" w:hanging="1440"/>
      </w:pPr>
      <w:r>
        <w:t>BTU-HG</w:t>
      </w:r>
      <w:r w:rsidRPr="0030067C">
        <w:tab/>
      </w:r>
      <w:r>
        <w:t>Emission limits for Hg in pounds</w:t>
      </w:r>
      <w:r w:rsidRPr="00204F2F">
        <w:t xml:space="preserve"> per MMBtu heat input</w:t>
      </w:r>
    </w:p>
    <w:p w14:paraId="2441BCD2" w14:textId="18E6E0B0" w:rsidR="002E59E3" w:rsidRPr="0030067C" w:rsidRDefault="002E59E3" w:rsidP="002B5D62">
      <w:pPr>
        <w:pStyle w:val="Indention"/>
        <w:tabs>
          <w:tab w:val="left" w:pos="720"/>
          <w:tab w:val="left" w:pos="2160"/>
        </w:tabs>
        <w:ind w:left="2160" w:hanging="1440"/>
      </w:pPr>
      <w:r>
        <w:t>STM-HG</w:t>
      </w:r>
      <w:r w:rsidRPr="0030067C">
        <w:tab/>
      </w:r>
      <w:r>
        <w:t>Emission limits for Hg in pounds</w:t>
      </w:r>
      <w:r w:rsidRPr="00204F2F">
        <w:t xml:space="preserve"> per MMBtu steam output</w:t>
      </w:r>
      <w:r>
        <w:t xml:space="preserve"> (for steam generating units only)</w:t>
      </w:r>
    </w:p>
    <w:p w14:paraId="08F577EB" w14:textId="6C468B76" w:rsidR="002E59E3" w:rsidRDefault="002E59E3" w:rsidP="002B5D62">
      <w:pPr>
        <w:tabs>
          <w:tab w:val="left" w:pos="720"/>
          <w:tab w:val="left" w:pos="2160"/>
        </w:tabs>
        <w:ind w:left="2160" w:hanging="1440"/>
      </w:pPr>
      <w:r>
        <w:t>MWH-HG</w:t>
      </w:r>
      <w:r>
        <w:tab/>
        <w:t>Emission limits for Hg in pounds</w:t>
      </w:r>
      <w:r w:rsidRPr="00204F2F">
        <w:t xml:space="preserve"> per MWh power output</w:t>
      </w:r>
      <w:r>
        <w:t xml:space="preserve"> (for boilers that generate electricity</w:t>
      </w:r>
      <w:r w:rsidR="00C00A94">
        <w:t> </w:t>
      </w:r>
      <w:r>
        <w:t>only)</w:t>
      </w:r>
    </w:p>
    <w:p w14:paraId="38FC25F4" w14:textId="32DD1A6C" w:rsidR="002E59E3" w:rsidRDefault="002E59E3" w:rsidP="000B55BA">
      <w:pPr>
        <w:tabs>
          <w:tab w:val="left" w:pos="0"/>
        </w:tabs>
        <w:spacing w:after="0"/>
        <w:rPr>
          <w:b/>
          <w:bCs/>
        </w:rPr>
      </w:pPr>
      <w:r>
        <w:rPr>
          <w:b/>
          <w:bCs/>
        </w:rPr>
        <w:t>Hg-</w:t>
      </w:r>
      <w:proofErr w:type="spellStart"/>
      <w:r>
        <w:rPr>
          <w:b/>
          <w:bCs/>
        </w:rPr>
        <w:t>In</w:t>
      </w:r>
      <w:r w:rsidR="00E01EA6">
        <w:rPr>
          <w:b/>
          <w:bCs/>
        </w:rPr>
        <w:t>j</w:t>
      </w:r>
      <w:r>
        <w:rPr>
          <w:b/>
          <w:bCs/>
        </w:rPr>
        <w:t>Rate</w:t>
      </w:r>
      <w:proofErr w:type="spellEnd"/>
      <w:r>
        <w:rPr>
          <w:b/>
          <w:bCs/>
        </w:rPr>
        <w:t>:</w:t>
      </w:r>
    </w:p>
    <w:p w14:paraId="3919BD6B" w14:textId="1DE6336A" w:rsidR="002E59E3" w:rsidRDefault="002E59E3" w:rsidP="000B55BA">
      <w:pPr>
        <w:tabs>
          <w:tab w:val="left" w:pos="0"/>
        </w:tabs>
      </w:pPr>
      <w:r>
        <w:t>Enter “YES” if an operating limit requires a monitoring system to measure sorbent injection rate for Hg. Otherwise, enter</w:t>
      </w:r>
      <w:r w:rsidR="00C00A94">
        <w:t> </w:t>
      </w:r>
      <w:r>
        <w:t>“N</w:t>
      </w:r>
      <w:r w:rsidR="00E900D9">
        <w:t>O</w:t>
      </w:r>
      <w:r>
        <w:t>.”</w:t>
      </w:r>
    </w:p>
    <w:p w14:paraId="1259BB87" w14:textId="77777777" w:rsidR="00E900D9" w:rsidRPr="00893C3D" w:rsidRDefault="00E900D9" w:rsidP="000B55BA">
      <w:pPr>
        <w:pStyle w:val="StarComplete"/>
        <w:tabs>
          <w:tab w:val="left" w:pos="0"/>
        </w:tabs>
      </w:pPr>
      <w:r w:rsidRPr="00893C3D">
        <w:t>Hg-CMS:</w:t>
      </w:r>
    </w:p>
    <w:p w14:paraId="177BD521" w14:textId="77777777" w:rsidR="00E900D9" w:rsidRPr="00893C3D" w:rsidRDefault="00E900D9" w:rsidP="000B55BA">
      <w:pPr>
        <w:tabs>
          <w:tab w:val="left" w:pos="0"/>
        </w:tabs>
      </w:pPr>
      <w:r w:rsidRPr="00893C3D">
        <w:t xml:space="preserve">Select one of the following mercury continuous monitoring </w:t>
      </w:r>
      <w:proofErr w:type="gramStart"/>
      <w:r w:rsidRPr="00893C3D">
        <w:t>system</w:t>
      </w:r>
      <w:proofErr w:type="gramEnd"/>
      <w:r w:rsidRPr="00893C3D">
        <w:t xml:space="preserve"> (CMS) options. Enter the code on the form.</w:t>
      </w:r>
    </w:p>
    <w:p w14:paraId="1D73AC8E" w14:textId="526E73D1" w:rsidR="00E900D9" w:rsidRDefault="00E900D9" w:rsidP="00671244">
      <w:pPr>
        <w:tabs>
          <w:tab w:val="left" w:pos="720"/>
          <w:tab w:val="left" w:pos="2160"/>
        </w:tabs>
        <w:spacing w:after="0"/>
        <w:ind w:left="2160" w:hanging="1440"/>
        <w:rPr>
          <w:b/>
          <w:bCs/>
        </w:rPr>
      </w:pPr>
      <w:r>
        <w:rPr>
          <w:b/>
          <w:bCs/>
        </w:rPr>
        <w:t>Code</w:t>
      </w:r>
      <w:r>
        <w:rPr>
          <w:b/>
          <w:bCs/>
        </w:rPr>
        <w:tab/>
        <w:t>Description</w:t>
      </w:r>
    </w:p>
    <w:p w14:paraId="630A7D7C" w14:textId="696131AA" w:rsidR="00E900D9" w:rsidRPr="0030067C" w:rsidRDefault="00E900D9" w:rsidP="0020158A">
      <w:pPr>
        <w:pStyle w:val="Indention"/>
        <w:tabs>
          <w:tab w:val="left" w:pos="720"/>
          <w:tab w:val="left" w:pos="2160"/>
        </w:tabs>
        <w:ind w:left="2160" w:hanging="1440"/>
      </w:pPr>
      <w:r>
        <w:t>NONE</w:t>
      </w:r>
      <w:r w:rsidRPr="0030067C">
        <w:tab/>
      </w:r>
      <w:r>
        <w:t>A CMS is not being used</w:t>
      </w:r>
    </w:p>
    <w:p w14:paraId="247CDEC8" w14:textId="50BB3414" w:rsidR="00E900D9" w:rsidRPr="0030067C" w:rsidRDefault="00E900D9" w:rsidP="0020158A">
      <w:pPr>
        <w:pStyle w:val="Indention"/>
        <w:tabs>
          <w:tab w:val="left" w:pos="720"/>
          <w:tab w:val="left" w:pos="2160"/>
        </w:tabs>
        <w:ind w:left="2160" w:hanging="1440"/>
      </w:pPr>
      <w:r>
        <w:t>HG-CEMS</w:t>
      </w:r>
      <w:r w:rsidRPr="0030067C">
        <w:tab/>
      </w:r>
      <w:r>
        <w:t>An Hg CEMS is used</w:t>
      </w:r>
    </w:p>
    <w:p w14:paraId="657B653D" w14:textId="38C9BDA1" w:rsidR="00E900D9" w:rsidRDefault="00E900D9" w:rsidP="0020158A">
      <w:pPr>
        <w:tabs>
          <w:tab w:val="left" w:pos="720"/>
          <w:tab w:val="left" w:pos="2160"/>
        </w:tabs>
        <w:ind w:left="2160" w:hanging="1440"/>
      </w:pPr>
      <w:r>
        <w:t>HGCMS</w:t>
      </w:r>
      <w:r>
        <w:tab/>
        <w:t>A CMS other than an Hg CEMS is used</w:t>
      </w:r>
    </w:p>
    <w:p w14:paraId="3784918D" w14:textId="6CAA5C44" w:rsidR="00E900D9" w:rsidRPr="00A11BC9" w:rsidRDefault="00E900D9" w:rsidP="00C00A94">
      <w:pPr>
        <w:numPr>
          <w:ilvl w:val="0"/>
          <w:numId w:val="25"/>
        </w:numPr>
        <w:tabs>
          <w:tab w:val="left" w:pos="547"/>
        </w:tabs>
        <w:spacing w:before="120"/>
        <w:ind w:left="547" w:hanging="547"/>
        <w:rPr>
          <w:b/>
        </w:rPr>
      </w:pPr>
      <w:r w:rsidRPr="00A11BC9">
        <w:rPr>
          <w:b/>
        </w:rPr>
        <w:t>Continue</w:t>
      </w:r>
      <w:r>
        <w:rPr>
          <w:b/>
        </w:rPr>
        <w:t xml:space="preserve"> on Table 6c </w:t>
      </w:r>
      <w:r w:rsidRPr="00A11BC9">
        <w:rPr>
          <w:b/>
        </w:rPr>
        <w:t>only if “</w:t>
      </w:r>
      <w:r>
        <w:rPr>
          <w:b/>
        </w:rPr>
        <w:t>Hg-CMS”</w:t>
      </w:r>
      <w:r w:rsidRPr="00A11BC9">
        <w:rPr>
          <w:b/>
        </w:rPr>
        <w:t xml:space="preserve"> is “</w:t>
      </w:r>
      <w:r>
        <w:rPr>
          <w:b/>
        </w:rPr>
        <w:t>NONE</w:t>
      </w:r>
      <w:r w:rsidRPr="00A11BC9">
        <w:rPr>
          <w:b/>
        </w:rPr>
        <w:t>”</w:t>
      </w:r>
      <w:r>
        <w:rPr>
          <w:b/>
        </w:rPr>
        <w:t>. If “Hg-CMS” is HG-CEMS” or “HGCMS</w:t>
      </w:r>
      <w:r w:rsidR="002B5D62">
        <w:rPr>
          <w:b/>
        </w:rPr>
        <w:t>,”</w:t>
      </w:r>
      <w:r>
        <w:rPr>
          <w:b/>
        </w:rPr>
        <w:t xml:space="preserve"> skip to Table</w:t>
      </w:r>
      <w:r w:rsidR="00C00A94">
        <w:rPr>
          <w:b/>
        </w:rPr>
        <w:t> </w:t>
      </w:r>
      <w:r>
        <w:rPr>
          <w:b/>
        </w:rPr>
        <w:t>6d.</w:t>
      </w:r>
    </w:p>
    <w:p w14:paraId="4BE5C86F" w14:textId="77777777" w:rsidR="00E900D9" w:rsidRPr="002B5D62" w:rsidRDefault="00E900D9" w:rsidP="000B55BA">
      <w:pPr>
        <w:tabs>
          <w:tab w:val="left" w:pos="0"/>
        </w:tabs>
        <w:spacing w:after="0"/>
        <w:rPr>
          <w:b/>
          <w:bCs/>
        </w:rPr>
      </w:pPr>
      <w:r w:rsidRPr="002B5D62">
        <w:rPr>
          <w:b/>
          <w:bCs/>
        </w:rPr>
        <w:t>Hg-CD:</w:t>
      </w:r>
    </w:p>
    <w:p w14:paraId="5AA59D1B" w14:textId="494737F2" w:rsidR="00E900D9" w:rsidRPr="00E900D9" w:rsidRDefault="00E900D9" w:rsidP="000B55BA">
      <w:pPr>
        <w:tabs>
          <w:tab w:val="left" w:pos="0"/>
        </w:tabs>
      </w:pPr>
      <w:r>
        <w:t>Select one of the following mercury control device options. Enter the code on the form.</w:t>
      </w:r>
    </w:p>
    <w:p w14:paraId="08429684" w14:textId="6B0D33A8" w:rsidR="002E59E3" w:rsidRDefault="00E900D9" w:rsidP="00671244">
      <w:pPr>
        <w:tabs>
          <w:tab w:val="left" w:pos="720"/>
          <w:tab w:val="left" w:pos="2160"/>
        </w:tabs>
        <w:spacing w:after="0"/>
        <w:ind w:left="2160" w:hanging="1440"/>
        <w:rPr>
          <w:b/>
          <w:bCs/>
          <w:lang w:bidi="en-US"/>
        </w:rPr>
      </w:pPr>
      <w:r>
        <w:rPr>
          <w:b/>
          <w:bCs/>
          <w:lang w:bidi="en-US"/>
        </w:rPr>
        <w:t>Code</w:t>
      </w:r>
      <w:r>
        <w:rPr>
          <w:b/>
          <w:bCs/>
          <w:lang w:bidi="en-US"/>
        </w:rPr>
        <w:tab/>
        <w:t>Description</w:t>
      </w:r>
    </w:p>
    <w:p w14:paraId="3F1AE3A4" w14:textId="2E7CA594" w:rsidR="00E900D9" w:rsidRPr="0030067C" w:rsidRDefault="00E900D9" w:rsidP="0020158A">
      <w:pPr>
        <w:pStyle w:val="Indention"/>
        <w:tabs>
          <w:tab w:val="left" w:pos="720"/>
          <w:tab w:val="left" w:pos="2160"/>
        </w:tabs>
        <w:ind w:left="2160" w:hanging="1440"/>
      </w:pPr>
      <w:r>
        <w:t>DS</w:t>
      </w:r>
      <w:r w:rsidRPr="0030067C">
        <w:tab/>
      </w:r>
      <w:r>
        <w:t>Dry scrubber is being used</w:t>
      </w:r>
    </w:p>
    <w:p w14:paraId="059BF13C" w14:textId="7EE8DB4E" w:rsidR="00E900D9" w:rsidRPr="0030067C" w:rsidRDefault="00E900D9" w:rsidP="0020158A">
      <w:pPr>
        <w:pStyle w:val="Indention"/>
        <w:tabs>
          <w:tab w:val="left" w:pos="720"/>
          <w:tab w:val="left" w:pos="2160"/>
        </w:tabs>
        <w:ind w:left="2160" w:hanging="1440"/>
      </w:pPr>
      <w:r>
        <w:t>WAS</w:t>
      </w:r>
      <w:r w:rsidRPr="0030067C">
        <w:tab/>
      </w:r>
      <w:r>
        <w:t>A wet acid scrubber is used</w:t>
      </w:r>
    </w:p>
    <w:p w14:paraId="4A82386E" w14:textId="4632368C" w:rsidR="00E900D9" w:rsidRPr="0030067C" w:rsidRDefault="00E900D9" w:rsidP="0020158A">
      <w:pPr>
        <w:pStyle w:val="Indention"/>
        <w:tabs>
          <w:tab w:val="left" w:pos="720"/>
          <w:tab w:val="left" w:pos="2160"/>
        </w:tabs>
        <w:ind w:left="2160" w:hanging="1440"/>
      </w:pPr>
      <w:r>
        <w:t>ESP-WS</w:t>
      </w:r>
      <w:r>
        <w:tab/>
        <w:t>An electrostatic precipitator with a wet scrubber is used</w:t>
      </w:r>
      <w:r w:rsidRPr="00777D0E">
        <w:t xml:space="preserve"> </w:t>
      </w:r>
    </w:p>
    <w:p w14:paraId="6B8C2E66" w14:textId="0F637267" w:rsidR="008F2630" w:rsidRDefault="00E900D9" w:rsidP="008F2630">
      <w:pPr>
        <w:tabs>
          <w:tab w:val="left" w:pos="720"/>
          <w:tab w:val="left" w:pos="2160"/>
        </w:tabs>
        <w:spacing w:after="0"/>
        <w:ind w:left="2160" w:hanging="1440"/>
      </w:pPr>
      <w:r>
        <w:t>ACI</w:t>
      </w:r>
      <w:r w:rsidRPr="0030067C">
        <w:tab/>
      </w:r>
      <w:r>
        <w:t>Activated carbon injection is used</w:t>
      </w:r>
    </w:p>
    <w:p w14:paraId="260CC8B6" w14:textId="75288F37" w:rsidR="008F2630" w:rsidRPr="00C33B85" w:rsidRDefault="008F2630" w:rsidP="008F2630">
      <w:pPr>
        <w:tabs>
          <w:tab w:val="left" w:pos="720"/>
          <w:tab w:val="left" w:pos="2160"/>
        </w:tabs>
        <w:spacing w:after="0"/>
        <w:ind w:left="2160" w:hanging="1440"/>
      </w:pPr>
      <w:r>
        <w:t>OTHER</w:t>
      </w:r>
      <w:r>
        <w:tab/>
      </w:r>
      <w:proofErr w:type="spellStart"/>
      <w:r>
        <w:t>Other</w:t>
      </w:r>
      <w:proofErr w:type="spellEnd"/>
      <w:r>
        <w:t xml:space="preserve"> control methods are being used</w:t>
      </w:r>
    </w:p>
    <w:p w14:paraId="40FB8EF4" w14:textId="300B1ADB" w:rsidR="008F2630" w:rsidRPr="008F2630" w:rsidRDefault="008F2630" w:rsidP="00273CFE">
      <w:pPr>
        <w:ind w:left="2160" w:hanging="1440"/>
      </w:pPr>
      <w:proofErr w:type="gramStart"/>
      <w:r>
        <w:rPr>
          <w:rFonts w:eastAsia="Times New Roman" w:cs="Times New Roman"/>
          <w:lang w:bidi="en-US"/>
        </w:rPr>
        <w:t>NONE</w:t>
      </w:r>
      <w:proofErr w:type="gramEnd"/>
      <w:r>
        <w:rPr>
          <w:rFonts w:eastAsia="Times New Roman" w:cs="Times New Roman"/>
          <w:lang w:bidi="en-US"/>
        </w:rPr>
        <w:tab/>
        <w:t>A control device is not used</w:t>
      </w:r>
    </w:p>
    <w:p w14:paraId="1E44223A" w14:textId="62C92D53" w:rsidR="00E900D9" w:rsidRDefault="00E900D9" w:rsidP="000B55BA">
      <w:pPr>
        <w:tabs>
          <w:tab w:val="left" w:pos="0"/>
        </w:tabs>
        <w:spacing w:after="0"/>
        <w:rPr>
          <w:b/>
          <w:bCs/>
          <w:lang w:bidi="en-US"/>
        </w:rPr>
      </w:pPr>
      <w:r>
        <w:rPr>
          <w:b/>
          <w:bCs/>
          <w:lang w:bidi="en-US"/>
        </w:rPr>
        <w:t>Hg-Test:</w:t>
      </w:r>
    </w:p>
    <w:p w14:paraId="5ADCB114" w14:textId="6CECB222" w:rsidR="00E900D9" w:rsidRDefault="00E900D9" w:rsidP="000B55BA">
      <w:pPr>
        <w:tabs>
          <w:tab w:val="left" w:pos="0"/>
        </w:tabs>
        <w:rPr>
          <w:lang w:bidi="en-US"/>
        </w:rPr>
      </w:pPr>
      <w:r>
        <w:rPr>
          <w:lang w:bidi="en-US"/>
        </w:rPr>
        <w:t>Select one of the following Hg performance test options. Enter the code on the form.</w:t>
      </w:r>
    </w:p>
    <w:p w14:paraId="4F7AAF26" w14:textId="103C500A" w:rsidR="00E900D9" w:rsidRDefault="00E900D9" w:rsidP="0020158A">
      <w:pPr>
        <w:tabs>
          <w:tab w:val="left" w:pos="720"/>
          <w:tab w:val="left" w:pos="2160"/>
        </w:tabs>
        <w:spacing w:after="0"/>
        <w:ind w:left="2160" w:hanging="1440"/>
        <w:rPr>
          <w:b/>
          <w:bCs/>
          <w:lang w:bidi="en-US"/>
        </w:rPr>
      </w:pPr>
      <w:r>
        <w:rPr>
          <w:b/>
          <w:bCs/>
          <w:lang w:bidi="en-US"/>
        </w:rPr>
        <w:t>Code</w:t>
      </w:r>
      <w:r>
        <w:rPr>
          <w:b/>
          <w:bCs/>
          <w:lang w:bidi="en-US"/>
        </w:rPr>
        <w:tab/>
        <w:t>Description</w:t>
      </w:r>
    </w:p>
    <w:p w14:paraId="43DB79A5" w14:textId="77777777" w:rsidR="00E900D9" w:rsidRPr="0030067C" w:rsidRDefault="00E900D9" w:rsidP="0020158A">
      <w:pPr>
        <w:pStyle w:val="Indention"/>
        <w:tabs>
          <w:tab w:val="left" w:pos="720"/>
          <w:tab w:val="left" w:pos="2160"/>
        </w:tabs>
        <w:ind w:left="2160" w:hanging="1440"/>
      </w:pPr>
      <w:r>
        <w:t>PT</w:t>
      </w:r>
      <w:r w:rsidRPr="0030067C">
        <w:tab/>
      </w:r>
      <w:r>
        <w:t>Compliance is demonstrated by conducting a performance test for Hg.</w:t>
      </w:r>
    </w:p>
    <w:p w14:paraId="55D6839C" w14:textId="77777777" w:rsidR="00E900D9" w:rsidRPr="0030067C" w:rsidRDefault="00E900D9" w:rsidP="00671244">
      <w:pPr>
        <w:pStyle w:val="Indention"/>
        <w:tabs>
          <w:tab w:val="left" w:pos="720"/>
          <w:tab w:val="left" w:pos="2160"/>
        </w:tabs>
        <w:spacing w:after="120"/>
        <w:ind w:left="2160" w:hanging="1440"/>
      </w:pPr>
      <w:r>
        <w:t>NPT</w:t>
      </w:r>
      <w:r w:rsidRPr="0030067C">
        <w:tab/>
      </w:r>
      <w:r>
        <w:t>A performance test is not being used.</w:t>
      </w:r>
    </w:p>
    <w:p w14:paraId="166DFA37" w14:textId="5559827E" w:rsidR="00E900D9" w:rsidRDefault="00E900D9" w:rsidP="000B55BA">
      <w:pPr>
        <w:tabs>
          <w:tab w:val="left" w:pos="0"/>
        </w:tabs>
        <w:spacing w:after="0"/>
        <w:rPr>
          <w:b/>
          <w:bCs/>
          <w:lang w:bidi="en-US"/>
        </w:rPr>
      </w:pPr>
      <w:r>
        <w:rPr>
          <w:b/>
          <w:bCs/>
          <w:lang w:bidi="en-US"/>
        </w:rPr>
        <w:t>Hg-FA:</w:t>
      </w:r>
    </w:p>
    <w:p w14:paraId="65F0092B" w14:textId="4E2CE68F" w:rsidR="00E900D9" w:rsidRDefault="00E900D9" w:rsidP="000B55BA">
      <w:pPr>
        <w:tabs>
          <w:tab w:val="left" w:pos="0"/>
        </w:tabs>
        <w:rPr>
          <w:lang w:bidi="en-US"/>
        </w:rPr>
      </w:pPr>
      <w:r>
        <w:rPr>
          <w:lang w:bidi="en-US"/>
        </w:rPr>
        <w:t>Select one of the following Hg fuel analysis options. Enter the code on the form.</w:t>
      </w:r>
    </w:p>
    <w:p w14:paraId="2B95E3A7" w14:textId="18B61C12" w:rsidR="00E900D9" w:rsidRDefault="00E900D9" w:rsidP="00F94A09">
      <w:pPr>
        <w:tabs>
          <w:tab w:val="left" w:pos="720"/>
          <w:tab w:val="left" w:pos="2160"/>
        </w:tabs>
        <w:spacing w:after="0"/>
        <w:ind w:left="2160" w:hanging="1440"/>
        <w:rPr>
          <w:b/>
          <w:bCs/>
          <w:lang w:bidi="en-US"/>
        </w:rPr>
      </w:pPr>
      <w:r>
        <w:rPr>
          <w:b/>
          <w:bCs/>
          <w:lang w:bidi="en-US"/>
        </w:rPr>
        <w:t>Code</w:t>
      </w:r>
      <w:r>
        <w:rPr>
          <w:b/>
          <w:bCs/>
          <w:lang w:bidi="en-US"/>
        </w:rPr>
        <w:tab/>
        <w:t>Description</w:t>
      </w:r>
    </w:p>
    <w:p w14:paraId="60CD32B7" w14:textId="77777777" w:rsidR="00E900D9" w:rsidRPr="0030067C" w:rsidRDefault="00E900D9" w:rsidP="00F94A09">
      <w:pPr>
        <w:pStyle w:val="Indention"/>
        <w:tabs>
          <w:tab w:val="left" w:pos="720"/>
          <w:tab w:val="left" w:pos="2160"/>
        </w:tabs>
        <w:ind w:left="2160" w:hanging="1440"/>
      </w:pPr>
      <w:r>
        <w:t>HGFA</w:t>
      </w:r>
      <w:r w:rsidRPr="0030067C">
        <w:tab/>
      </w:r>
      <w:r>
        <w:t>Compliance is demonstrated by conducting fuel analysis for Hg.</w:t>
      </w:r>
    </w:p>
    <w:p w14:paraId="3B1F714B" w14:textId="77777777" w:rsidR="00E900D9" w:rsidRPr="0030067C" w:rsidRDefault="00E900D9" w:rsidP="00F94A09">
      <w:pPr>
        <w:pStyle w:val="Indention"/>
        <w:tabs>
          <w:tab w:val="left" w:pos="720"/>
          <w:tab w:val="left" w:pos="2160"/>
        </w:tabs>
        <w:ind w:left="2160" w:hanging="1440"/>
      </w:pPr>
      <w:r>
        <w:t>NFA</w:t>
      </w:r>
      <w:r w:rsidRPr="0030067C">
        <w:tab/>
      </w:r>
      <w:r>
        <w:t>Fuel analysis is not being used.</w:t>
      </w:r>
    </w:p>
    <w:p w14:paraId="7573103E" w14:textId="1D5FAB0B" w:rsidR="00671244" w:rsidRDefault="00671244">
      <w:r>
        <w:br w:type="page"/>
      </w:r>
    </w:p>
    <w:p w14:paraId="7A3189ED" w14:textId="77777777" w:rsidR="00E900D9" w:rsidRPr="00EF0801" w:rsidRDefault="00E900D9" w:rsidP="00E900D9">
      <w:pPr>
        <w:pBdr>
          <w:bottom w:val="double" w:sz="4" w:space="1" w:color="auto"/>
        </w:pBdr>
      </w:pPr>
    </w:p>
    <w:bookmarkStart w:id="24" w:name="Table_6d"/>
    <w:p w14:paraId="5A431F4C" w14:textId="7B56157B" w:rsidR="00E900D9" w:rsidRDefault="00C4350F" w:rsidP="002B5D62">
      <w:pPr>
        <w:ind w:left="1440" w:hanging="1440"/>
        <w:rPr>
          <w:b/>
          <w:bCs/>
        </w:rPr>
      </w:pPr>
      <w:r w:rsidRPr="00273CFE">
        <w:rPr>
          <w:rStyle w:val="Hyperlink"/>
          <w:bCs/>
        </w:rPr>
        <w:fldChar w:fldCharType="begin"/>
      </w:r>
      <w:r w:rsidR="00765060">
        <w:rPr>
          <w:rStyle w:val="Hyperlink"/>
          <w:bCs/>
        </w:rPr>
        <w:instrText>HYPERLINK  \l "TBL6d" \o "Table 6d"</w:instrText>
      </w:r>
      <w:r w:rsidRPr="00273CFE">
        <w:rPr>
          <w:rStyle w:val="Hyperlink"/>
          <w:bCs/>
        </w:rPr>
      </w:r>
      <w:r w:rsidRPr="00273CFE">
        <w:rPr>
          <w:rStyle w:val="Hyperlink"/>
          <w:bCs/>
        </w:rPr>
        <w:fldChar w:fldCharType="separate"/>
      </w:r>
      <w:r w:rsidR="00E900D9" w:rsidRPr="00273CFE">
        <w:rPr>
          <w:rStyle w:val="Hyperlink"/>
          <w:b/>
          <w:bCs/>
        </w:rPr>
        <w:t>Table 6d</w:t>
      </w:r>
      <w:bookmarkEnd w:id="24"/>
      <w:r w:rsidRPr="00273CFE">
        <w:rPr>
          <w:rStyle w:val="Hyperlink"/>
          <w:bCs/>
        </w:rPr>
        <w:fldChar w:fldCharType="end"/>
      </w:r>
      <w:r w:rsidR="00E900D9" w:rsidRPr="00EF0801">
        <w:rPr>
          <w:b/>
        </w:rPr>
        <w:t>:</w:t>
      </w:r>
      <w:r w:rsidR="00E900D9" w:rsidRPr="00EF0801">
        <w:rPr>
          <w:b/>
        </w:rPr>
        <w:tab/>
        <w:t>Title 40 Code of Federal Regulations Part 63 (40 CFR Part 63)</w:t>
      </w:r>
      <w:r w:rsidR="00E900D9">
        <w:rPr>
          <w:b/>
        </w:rPr>
        <w:t xml:space="preserve">, </w:t>
      </w:r>
      <w:r w:rsidR="00E900D9" w:rsidRPr="00EF0801">
        <w:rPr>
          <w:b/>
        </w:rPr>
        <w:t xml:space="preserve">Subpart </w:t>
      </w:r>
      <w:r w:rsidR="00E900D9">
        <w:rPr>
          <w:b/>
        </w:rPr>
        <w:t>DDDDD</w:t>
      </w:r>
      <w:r w:rsidR="00E900D9" w:rsidRPr="00EF0801">
        <w:rPr>
          <w:b/>
        </w:rPr>
        <w:t xml:space="preserve">: </w:t>
      </w:r>
      <w:r w:rsidR="00E900D9" w:rsidRPr="00495923">
        <w:rPr>
          <w:b/>
          <w:bCs/>
        </w:rPr>
        <w:t xml:space="preserve">Industrial, Commercial, and </w:t>
      </w:r>
      <w:r w:rsidR="007C0D8B">
        <w:rPr>
          <w:b/>
          <w:bCs/>
        </w:rPr>
        <w:t>Institutional</w:t>
      </w:r>
      <w:r w:rsidR="007C0D8B" w:rsidRPr="00495923">
        <w:rPr>
          <w:b/>
          <w:bCs/>
        </w:rPr>
        <w:t xml:space="preserve"> </w:t>
      </w:r>
      <w:r w:rsidR="00E900D9">
        <w:rPr>
          <w:b/>
          <w:bCs/>
        </w:rPr>
        <w:t>Process Heater</w:t>
      </w:r>
      <w:r w:rsidR="00E900D9" w:rsidRPr="00495923">
        <w:rPr>
          <w:b/>
          <w:bCs/>
        </w:rPr>
        <w:t>s</w:t>
      </w:r>
    </w:p>
    <w:p w14:paraId="5C147B5A" w14:textId="77777777" w:rsidR="00E900D9" w:rsidRPr="00EF0801" w:rsidRDefault="00E900D9" w:rsidP="00DB44A3">
      <w:pPr>
        <w:tabs>
          <w:tab w:val="left" w:pos="0"/>
        </w:tabs>
        <w:spacing w:after="0"/>
      </w:pPr>
      <w:r w:rsidRPr="00EF0801">
        <w:rPr>
          <w:b/>
        </w:rPr>
        <w:t>Unit ID No</w:t>
      </w:r>
      <w:r w:rsidRPr="00EF0801">
        <w:t>.:</w:t>
      </w:r>
    </w:p>
    <w:p w14:paraId="18CD163F" w14:textId="77777777" w:rsidR="00E900D9" w:rsidRPr="00EF0801" w:rsidRDefault="00E900D9" w:rsidP="00DB44A3">
      <w:pPr>
        <w:tabs>
          <w:tab w:val="left" w:pos="0"/>
        </w:tabs>
      </w:pPr>
      <w:r w:rsidRPr="00EF0801">
        <w:t>Enter the identification number (ID No.) for the unit (maximum 10 characters) as listed on Form OP SUM (Individual</w:t>
      </w:r>
      <w:r>
        <w:t> </w:t>
      </w:r>
      <w:r w:rsidRPr="00EF0801">
        <w:t>Unit Summary).</w:t>
      </w:r>
    </w:p>
    <w:p w14:paraId="0EDB2D9B" w14:textId="77777777" w:rsidR="00E900D9" w:rsidRPr="00EF0801" w:rsidRDefault="00E900D9" w:rsidP="00DB44A3">
      <w:pPr>
        <w:tabs>
          <w:tab w:val="left" w:pos="0"/>
        </w:tabs>
        <w:spacing w:after="0"/>
      </w:pPr>
      <w:r w:rsidRPr="0030067C">
        <w:rPr>
          <w:rStyle w:val="APDQuestion"/>
        </w:rPr>
        <w:t>SOP/</w:t>
      </w:r>
      <w:r w:rsidRPr="00EF0801">
        <w:rPr>
          <w:b/>
        </w:rPr>
        <w:t>GOP Index No.</w:t>
      </w:r>
      <w:r w:rsidRPr="00F94A09">
        <w:rPr>
          <w:b/>
          <w:bCs/>
        </w:rPr>
        <w:t>:</w:t>
      </w:r>
    </w:p>
    <w:p w14:paraId="09714810" w14:textId="1A62F4E7" w:rsidR="00E900D9" w:rsidRPr="00793C3D" w:rsidRDefault="00E900D9" w:rsidP="00DB44A3">
      <w:pPr>
        <w:tabs>
          <w:tab w:val="left" w:pos="0"/>
        </w:tabs>
      </w:pPr>
      <w:r w:rsidRPr="00DC71B0">
        <w:rPr>
          <w:rFonts w:asciiTheme="majorHAnsi" w:hAnsiTheme="majorHAnsi" w:cstheme="majorHAnsi"/>
        </w:rPr>
        <w:t>Site operating permit (SOP) applicants should indicate the SOP index number for the unit or group of units (maximum</w:t>
      </w:r>
      <w:r>
        <w:rPr>
          <w:rFonts w:asciiTheme="majorHAnsi" w:hAnsiTheme="majorHAnsi" w:cstheme="majorHAnsi"/>
        </w:rPr>
        <w:t> </w:t>
      </w:r>
      <w:r w:rsidRPr="00DC71B0">
        <w:rPr>
          <w:rFonts w:asciiTheme="majorHAnsi" w:hAnsiTheme="majorHAnsi" w:cstheme="majorHAnsi"/>
        </w:rPr>
        <w:t>15</w:t>
      </w:r>
      <w:r>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5229A3" w:rsidRPr="00436B50">
        <w:rPr>
          <w:rFonts w:cs="Times New Roman"/>
        </w:rPr>
        <w:t xml:space="preserve">For additional information relating to SOP and GOP index numbers, please see the Completing FOP Applications – Additional Guidance on the TCEQ website at </w:t>
      </w:r>
      <w:hyperlink r:id="rId23" w:tooltip="TCEQ - Completing FOP Applications - Additional Guidance" w:history="1">
        <w:r w:rsidR="005229A3" w:rsidRPr="00273CFE">
          <w:rPr>
            <w:rStyle w:val="Hyperlink"/>
          </w:rPr>
          <w:t>www.tceq.texas.gov/permitting/air/guidance/titlev/tv_fop_guidance.html</w:t>
        </w:r>
      </w:hyperlink>
      <w:r w:rsidRPr="00273CFE">
        <w:rPr>
          <w:rStyle w:val="Hyperlink"/>
        </w:rPr>
        <w:t>.</w:t>
      </w:r>
    </w:p>
    <w:p w14:paraId="16F1AFDF" w14:textId="3F258340" w:rsidR="00E900D9" w:rsidRPr="002B5D62" w:rsidRDefault="00E900D9" w:rsidP="002B5D62">
      <w:pPr>
        <w:pStyle w:val="ListParagraph"/>
        <w:numPr>
          <w:ilvl w:val="0"/>
          <w:numId w:val="24"/>
        </w:numPr>
        <w:tabs>
          <w:tab w:val="left" w:pos="547"/>
        </w:tabs>
        <w:spacing w:before="120"/>
        <w:ind w:left="547" w:hanging="547"/>
        <w:rPr>
          <w:b/>
          <w:bCs/>
        </w:rPr>
      </w:pPr>
      <w:r w:rsidRPr="00A60DB3">
        <w:rPr>
          <w:b/>
        </w:rPr>
        <w:t xml:space="preserve">Complete </w:t>
      </w:r>
      <w:r>
        <w:rPr>
          <w:b/>
        </w:rPr>
        <w:t xml:space="preserve">“BM Subcategory” </w:t>
      </w:r>
      <w:r w:rsidRPr="00A60DB3">
        <w:rPr>
          <w:b/>
        </w:rPr>
        <w:t>only if “</w:t>
      </w:r>
      <w:r>
        <w:rPr>
          <w:b/>
        </w:rPr>
        <w:t>Table Applicability” is “BM10.”</w:t>
      </w:r>
    </w:p>
    <w:p w14:paraId="32286534" w14:textId="77777777" w:rsidR="00E900D9" w:rsidRPr="00E900D9" w:rsidRDefault="00E900D9" w:rsidP="00DB44A3">
      <w:pPr>
        <w:tabs>
          <w:tab w:val="left" w:pos="0"/>
        </w:tabs>
        <w:spacing w:after="0"/>
        <w:rPr>
          <w:b/>
        </w:rPr>
      </w:pPr>
      <w:r w:rsidRPr="00E900D9">
        <w:rPr>
          <w:b/>
        </w:rPr>
        <w:t>BM Subcategory:</w:t>
      </w:r>
    </w:p>
    <w:p w14:paraId="52BF38BB" w14:textId="77777777" w:rsidR="00E900D9" w:rsidRPr="00E900D9" w:rsidRDefault="00E900D9" w:rsidP="00DB44A3">
      <w:pPr>
        <w:tabs>
          <w:tab w:val="left" w:pos="0"/>
        </w:tabs>
        <w:rPr>
          <w:rFonts w:eastAsia="Calibri" w:cs="Times New Roman"/>
          <w:szCs w:val="20"/>
          <w:lang w:bidi="en-US"/>
        </w:rPr>
      </w:pPr>
      <w:r w:rsidRPr="00E900D9">
        <w:rPr>
          <w:rFonts w:eastAsia="Calibri" w:cs="Times New Roman"/>
          <w:szCs w:val="20"/>
          <w:lang w:bidi="en-US"/>
        </w:rPr>
        <w:t xml:space="preserve">Select one of the following options that describes subcategory of the boiler or process heater as listed in §63.7499. </w:t>
      </w:r>
      <w:r w:rsidRPr="00E900D9">
        <w:rPr>
          <w:rFonts w:asciiTheme="majorHAnsi" w:eastAsia="Calibri" w:hAnsiTheme="majorHAnsi" w:cstheme="majorHAnsi"/>
          <w:szCs w:val="20"/>
          <w:lang w:bidi="en-US"/>
        </w:rPr>
        <w:t>Enter the code on the form.</w:t>
      </w:r>
    </w:p>
    <w:p w14:paraId="0CF04AA8" w14:textId="77777777" w:rsidR="00E900D9" w:rsidRPr="002B5D62" w:rsidRDefault="00E900D9" w:rsidP="00E900D9">
      <w:pPr>
        <w:spacing w:after="0"/>
        <w:ind w:left="2160" w:hanging="1440"/>
        <w:rPr>
          <w:rFonts w:asciiTheme="majorHAnsi" w:eastAsia="Times New Roman" w:hAnsiTheme="majorHAnsi" w:cstheme="majorHAnsi"/>
          <w:b/>
          <w:bCs/>
          <w:lang w:bidi="en-US"/>
        </w:rPr>
      </w:pPr>
      <w:r w:rsidRPr="002B5D62">
        <w:rPr>
          <w:rFonts w:asciiTheme="majorHAnsi" w:eastAsia="Times New Roman" w:hAnsiTheme="majorHAnsi" w:cstheme="majorHAnsi"/>
          <w:b/>
          <w:bCs/>
          <w:lang w:bidi="en-US"/>
        </w:rPr>
        <w:t>Code</w:t>
      </w:r>
      <w:r w:rsidRPr="002B5D62">
        <w:rPr>
          <w:rFonts w:asciiTheme="majorHAnsi" w:eastAsia="Times New Roman" w:hAnsiTheme="majorHAnsi" w:cstheme="majorHAnsi"/>
          <w:b/>
          <w:bCs/>
          <w:lang w:bidi="en-US"/>
        </w:rPr>
        <w:tab/>
        <w:t>Description</w:t>
      </w:r>
    </w:p>
    <w:p w14:paraId="796CD802" w14:textId="4BB2FB50" w:rsidR="00E900D9" w:rsidRPr="00E900D9" w:rsidRDefault="00E900D9" w:rsidP="00E900D9">
      <w:pPr>
        <w:spacing w:after="0"/>
        <w:ind w:left="2160" w:hanging="1440"/>
        <w:rPr>
          <w:rFonts w:eastAsia="Times New Roman" w:cs="Times New Roman"/>
          <w:lang w:bidi="en-US"/>
        </w:rPr>
      </w:pPr>
      <w:r w:rsidRPr="00E900D9">
        <w:rPr>
          <w:rFonts w:eastAsia="Times New Roman" w:cs="Times New Roman"/>
          <w:lang w:bidi="en-US"/>
        </w:rPr>
        <w:t>7499(I)</w:t>
      </w:r>
      <w:r w:rsidRPr="00E900D9">
        <w:rPr>
          <w:rFonts w:eastAsia="Times New Roman" w:cs="Times New Roman"/>
          <w:lang w:bidi="en-US"/>
        </w:rPr>
        <w:tab/>
        <w:t>The unit is a stoker/sloped grate/</w:t>
      </w:r>
      <w:proofErr w:type="gramStart"/>
      <w:r w:rsidRPr="00E900D9">
        <w:rPr>
          <w:rFonts w:eastAsia="Times New Roman" w:cs="Times New Roman"/>
          <w:lang w:bidi="en-US"/>
        </w:rPr>
        <w:t>other</w:t>
      </w:r>
      <w:proofErr w:type="gramEnd"/>
      <w:r w:rsidRPr="00E900D9">
        <w:rPr>
          <w:rFonts w:eastAsia="Times New Roman" w:cs="Times New Roman"/>
          <w:lang w:bidi="en-US"/>
        </w:rPr>
        <w:t xml:space="preserve"> unit designed to burn wet biomass/bio-based solid</w:t>
      </w:r>
    </w:p>
    <w:p w14:paraId="5FA7C1C8" w14:textId="2C5FF6C4" w:rsidR="00E900D9" w:rsidRPr="00E900D9" w:rsidRDefault="00E900D9" w:rsidP="00E900D9">
      <w:pPr>
        <w:spacing w:after="0"/>
        <w:ind w:left="2160" w:hanging="1440"/>
        <w:rPr>
          <w:rFonts w:eastAsia="Times New Roman" w:cs="Times New Roman"/>
          <w:lang w:bidi="en-US"/>
        </w:rPr>
      </w:pPr>
      <w:r w:rsidRPr="00E900D9">
        <w:rPr>
          <w:rFonts w:eastAsia="Times New Roman" w:cs="Times New Roman"/>
          <w:lang w:bidi="en-US"/>
        </w:rPr>
        <w:t>7499(D)</w:t>
      </w:r>
      <w:r w:rsidRPr="00E900D9">
        <w:rPr>
          <w:rFonts w:eastAsia="Times New Roman" w:cs="Times New Roman"/>
          <w:lang w:bidi="en-US"/>
        </w:rPr>
        <w:tab/>
        <w:t>The unit is a stoker/sloped grate/</w:t>
      </w:r>
      <w:proofErr w:type="gramStart"/>
      <w:r w:rsidRPr="00E900D9">
        <w:rPr>
          <w:rFonts w:eastAsia="Times New Roman" w:cs="Times New Roman"/>
          <w:lang w:bidi="en-US"/>
        </w:rPr>
        <w:t>other</w:t>
      </w:r>
      <w:proofErr w:type="gramEnd"/>
      <w:r w:rsidRPr="00E900D9">
        <w:rPr>
          <w:rFonts w:eastAsia="Times New Roman" w:cs="Times New Roman"/>
          <w:lang w:bidi="en-US"/>
        </w:rPr>
        <w:t xml:space="preserve"> unit designed to burn kiln dried biomass/bio-based solid</w:t>
      </w:r>
    </w:p>
    <w:p w14:paraId="41C1F5A4" w14:textId="788A9AB6" w:rsidR="00E900D9" w:rsidRPr="00E900D9" w:rsidRDefault="00E900D9" w:rsidP="00E900D9">
      <w:pPr>
        <w:spacing w:after="0"/>
        <w:ind w:left="2160" w:hanging="1440"/>
        <w:rPr>
          <w:rFonts w:eastAsia="Times New Roman" w:cs="Times New Roman"/>
          <w:lang w:bidi="en-US"/>
        </w:rPr>
      </w:pPr>
      <w:r w:rsidRPr="00E900D9">
        <w:rPr>
          <w:rFonts w:eastAsia="Times New Roman" w:cs="Times New Roman"/>
          <w:lang w:bidi="en-US"/>
        </w:rPr>
        <w:t>7499(E)</w:t>
      </w:r>
      <w:r w:rsidRPr="00E900D9">
        <w:rPr>
          <w:rFonts w:eastAsia="Times New Roman" w:cs="Times New Roman"/>
          <w:lang w:bidi="en-US"/>
        </w:rPr>
        <w:tab/>
        <w:t>The unit is a fluidized bed designed to burn biomass/bio-based solid</w:t>
      </w:r>
    </w:p>
    <w:p w14:paraId="48F96234" w14:textId="785E2C54" w:rsidR="00E900D9" w:rsidRPr="00E900D9" w:rsidRDefault="00E900D9" w:rsidP="00E900D9">
      <w:pPr>
        <w:spacing w:after="0"/>
        <w:ind w:left="2160" w:hanging="1440"/>
        <w:rPr>
          <w:rFonts w:eastAsia="Times New Roman" w:cs="Times New Roman"/>
          <w:lang w:bidi="en-US"/>
        </w:rPr>
      </w:pPr>
      <w:r w:rsidRPr="00E900D9">
        <w:rPr>
          <w:rFonts w:eastAsia="Times New Roman" w:cs="Times New Roman"/>
          <w:lang w:bidi="en-US"/>
        </w:rPr>
        <w:t>7499(F)</w:t>
      </w:r>
      <w:r w:rsidRPr="00E900D9">
        <w:rPr>
          <w:rFonts w:eastAsia="Times New Roman" w:cs="Times New Roman"/>
          <w:lang w:bidi="en-US"/>
        </w:rPr>
        <w:tab/>
        <w:t>The unit is a suspension burner designed to burn biomass/bio-based solid</w:t>
      </w:r>
    </w:p>
    <w:p w14:paraId="223945A0" w14:textId="4FD7883A" w:rsidR="00E900D9" w:rsidRPr="00E900D9" w:rsidRDefault="00E900D9" w:rsidP="00E900D9">
      <w:pPr>
        <w:spacing w:after="0"/>
        <w:ind w:left="2160" w:hanging="1440"/>
        <w:rPr>
          <w:rFonts w:eastAsia="Times New Roman" w:cs="Times New Roman"/>
          <w:lang w:bidi="en-US"/>
        </w:rPr>
      </w:pPr>
      <w:r w:rsidRPr="00E900D9">
        <w:rPr>
          <w:rFonts w:eastAsia="Times New Roman" w:cs="Times New Roman"/>
          <w:lang w:bidi="en-US"/>
        </w:rPr>
        <w:t>7499(J)</w:t>
      </w:r>
      <w:r w:rsidRPr="00E900D9">
        <w:rPr>
          <w:rFonts w:eastAsia="Times New Roman" w:cs="Times New Roman"/>
          <w:lang w:bidi="en-US"/>
        </w:rPr>
        <w:tab/>
        <w:t>The unit is a Dutch oven/pile burner designed to burn biomass/bio-based solid</w:t>
      </w:r>
    </w:p>
    <w:p w14:paraId="0A30D1B6" w14:textId="1A9200B3" w:rsidR="00E900D9" w:rsidRPr="00E900D9" w:rsidRDefault="00E900D9" w:rsidP="00E900D9">
      <w:pPr>
        <w:spacing w:after="0"/>
        <w:ind w:left="2160" w:hanging="1440"/>
        <w:rPr>
          <w:rFonts w:eastAsia="Times New Roman" w:cs="Times New Roman"/>
          <w:lang w:bidi="en-US"/>
        </w:rPr>
      </w:pPr>
      <w:r w:rsidRPr="00E900D9">
        <w:rPr>
          <w:rFonts w:eastAsia="Times New Roman" w:cs="Times New Roman"/>
          <w:lang w:bidi="en-US"/>
        </w:rPr>
        <w:t>7499(G)</w:t>
      </w:r>
      <w:r w:rsidRPr="00E900D9">
        <w:rPr>
          <w:rFonts w:eastAsia="Times New Roman" w:cs="Times New Roman"/>
          <w:lang w:bidi="en-US"/>
        </w:rPr>
        <w:tab/>
        <w:t>The unit is a fuel cell designed to burn biomass/bio-based solid</w:t>
      </w:r>
    </w:p>
    <w:p w14:paraId="0DE9EAA4" w14:textId="6E318E85" w:rsidR="00E900D9" w:rsidRDefault="00E900D9" w:rsidP="00E900D9">
      <w:pPr>
        <w:ind w:left="2160" w:hanging="1440"/>
      </w:pPr>
      <w:r w:rsidRPr="00E900D9">
        <w:t>7499(H)</w:t>
      </w:r>
      <w:r w:rsidRPr="00E900D9">
        <w:tab/>
        <w:t>The unit is a hybrid suspension/grate burner designed to burn wet biomass/bio-based solid</w:t>
      </w:r>
    </w:p>
    <w:p w14:paraId="04E24E7E" w14:textId="77777777" w:rsidR="00E900D9" w:rsidRPr="002B5D62" w:rsidRDefault="00E900D9" w:rsidP="00DB44A3">
      <w:pPr>
        <w:tabs>
          <w:tab w:val="left" w:pos="0"/>
        </w:tabs>
        <w:spacing w:after="0"/>
        <w:rPr>
          <w:rFonts w:eastAsia="Calibri" w:cs="Times New Roman"/>
          <w:b/>
          <w:bCs/>
          <w:szCs w:val="20"/>
          <w:lang w:bidi="en-US"/>
        </w:rPr>
      </w:pPr>
      <w:r w:rsidRPr="002B5D62">
        <w:rPr>
          <w:rFonts w:eastAsia="Calibri" w:cs="Times New Roman"/>
          <w:b/>
          <w:bCs/>
          <w:szCs w:val="20"/>
          <w:lang w:bidi="en-US"/>
        </w:rPr>
        <w:t>PM/TSM Emission:</w:t>
      </w:r>
    </w:p>
    <w:p w14:paraId="78E9FBA8" w14:textId="77777777" w:rsidR="00E900D9" w:rsidRPr="00E900D9" w:rsidRDefault="00E900D9" w:rsidP="00DB44A3">
      <w:pPr>
        <w:tabs>
          <w:tab w:val="left" w:pos="0"/>
        </w:tabs>
        <w:rPr>
          <w:rFonts w:eastAsia="Calibri" w:cs="Times New Roman"/>
          <w:szCs w:val="20"/>
          <w:lang w:bidi="en-US"/>
        </w:rPr>
      </w:pPr>
      <w:r w:rsidRPr="00E900D9">
        <w:rPr>
          <w:rFonts w:eastAsia="Calibri" w:cs="Times New Roman"/>
          <w:szCs w:val="20"/>
          <w:lang w:bidi="en-US"/>
        </w:rPr>
        <w:t xml:space="preserve">Select one of the following particulate matter or total selected metals emission limit options. </w:t>
      </w:r>
      <w:r w:rsidRPr="00E900D9">
        <w:rPr>
          <w:rFonts w:asciiTheme="majorHAnsi" w:eastAsia="Calibri" w:hAnsiTheme="majorHAnsi" w:cstheme="majorHAnsi"/>
          <w:szCs w:val="20"/>
          <w:lang w:bidi="en-US"/>
        </w:rPr>
        <w:t>Enter the code on the form.</w:t>
      </w:r>
    </w:p>
    <w:p w14:paraId="1A1DC438" w14:textId="116C4B69" w:rsidR="00E900D9" w:rsidRDefault="00E900D9" w:rsidP="00F94A09">
      <w:pPr>
        <w:tabs>
          <w:tab w:val="left" w:pos="720"/>
          <w:tab w:val="left" w:pos="2160"/>
        </w:tabs>
        <w:spacing w:after="0"/>
        <w:ind w:left="2160" w:hanging="1440"/>
        <w:rPr>
          <w:b/>
          <w:bCs/>
        </w:rPr>
      </w:pPr>
      <w:r>
        <w:rPr>
          <w:b/>
          <w:bCs/>
        </w:rPr>
        <w:t>Code</w:t>
      </w:r>
      <w:r>
        <w:rPr>
          <w:b/>
          <w:bCs/>
        </w:rPr>
        <w:tab/>
        <w:t>Description</w:t>
      </w:r>
    </w:p>
    <w:p w14:paraId="685EC278" w14:textId="7E3566B2" w:rsidR="00E900D9" w:rsidRDefault="00E900D9" w:rsidP="00F94A09">
      <w:pPr>
        <w:pStyle w:val="Indention"/>
        <w:tabs>
          <w:tab w:val="left" w:pos="720"/>
          <w:tab w:val="left" w:pos="2160"/>
        </w:tabs>
        <w:ind w:left="2160" w:hanging="1440"/>
      </w:pPr>
      <w:r>
        <w:t>BTU-PM</w:t>
      </w:r>
      <w:r w:rsidRPr="0030067C">
        <w:tab/>
      </w:r>
      <w:r>
        <w:t>Emission limits for PM in pounds</w:t>
      </w:r>
      <w:r w:rsidRPr="00204F2F">
        <w:t xml:space="preserve"> per MMBtu heat input</w:t>
      </w:r>
    </w:p>
    <w:p w14:paraId="16575FB2" w14:textId="61B1A788" w:rsidR="00E900D9" w:rsidRPr="0030067C" w:rsidRDefault="00E900D9" w:rsidP="00F94A09">
      <w:pPr>
        <w:pStyle w:val="Indention"/>
        <w:tabs>
          <w:tab w:val="left" w:pos="720"/>
          <w:tab w:val="left" w:pos="2160"/>
        </w:tabs>
        <w:ind w:left="2160" w:hanging="1440"/>
      </w:pPr>
      <w:r>
        <w:t>BTU-TSM</w:t>
      </w:r>
      <w:r w:rsidRPr="0030067C">
        <w:tab/>
      </w:r>
      <w:r>
        <w:t>Emission limits for TSM in pounds</w:t>
      </w:r>
      <w:r w:rsidRPr="00204F2F">
        <w:t xml:space="preserve"> per MMBtu heat input</w:t>
      </w:r>
    </w:p>
    <w:p w14:paraId="30FEEAEF" w14:textId="777509C2" w:rsidR="00E900D9" w:rsidRPr="0030067C" w:rsidRDefault="00E900D9" w:rsidP="00F94A09">
      <w:pPr>
        <w:pStyle w:val="Indention"/>
        <w:tabs>
          <w:tab w:val="left" w:pos="720"/>
          <w:tab w:val="left" w:pos="2160"/>
        </w:tabs>
        <w:ind w:left="2160" w:hanging="1440"/>
      </w:pPr>
      <w:r>
        <w:t>STM-PM</w:t>
      </w:r>
      <w:r w:rsidRPr="0030067C">
        <w:tab/>
      </w:r>
      <w:r>
        <w:t xml:space="preserve">Emission limits for </w:t>
      </w:r>
      <w:r w:rsidRPr="00F9569E">
        <w:t xml:space="preserve">PM </w:t>
      </w:r>
      <w:r>
        <w:t>in pounds</w:t>
      </w:r>
      <w:r w:rsidRPr="00204F2F">
        <w:t xml:space="preserve"> per MMBtu steam output</w:t>
      </w:r>
      <w:r>
        <w:t xml:space="preserve"> (for steam generating units only)</w:t>
      </w:r>
      <w:r w:rsidRPr="00F41925">
        <w:t xml:space="preserve"> </w:t>
      </w:r>
    </w:p>
    <w:p w14:paraId="3E87A04D" w14:textId="60045342" w:rsidR="00E900D9" w:rsidRPr="0030067C" w:rsidRDefault="00E900D9" w:rsidP="00F94A09">
      <w:pPr>
        <w:pStyle w:val="Indention"/>
        <w:tabs>
          <w:tab w:val="left" w:pos="720"/>
          <w:tab w:val="left" w:pos="2160"/>
        </w:tabs>
        <w:ind w:left="2160" w:hanging="1440"/>
      </w:pPr>
      <w:r>
        <w:t>STM-TSM</w:t>
      </w:r>
      <w:r w:rsidRPr="0030067C">
        <w:tab/>
      </w:r>
      <w:r>
        <w:t xml:space="preserve">Emission limits for </w:t>
      </w:r>
      <w:r w:rsidRPr="00F9569E">
        <w:t xml:space="preserve">TSM </w:t>
      </w:r>
      <w:r>
        <w:t>in pounds</w:t>
      </w:r>
      <w:r w:rsidRPr="00204F2F">
        <w:t xml:space="preserve"> per MMBtu steam output</w:t>
      </w:r>
      <w:r>
        <w:t xml:space="preserve"> (for steam generating units only)</w:t>
      </w:r>
    </w:p>
    <w:p w14:paraId="741D7CC4" w14:textId="20FAE784" w:rsidR="00E900D9" w:rsidRPr="0030067C" w:rsidRDefault="00E900D9" w:rsidP="00F94A09">
      <w:pPr>
        <w:pStyle w:val="Indention"/>
        <w:tabs>
          <w:tab w:val="left" w:pos="720"/>
          <w:tab w:val="left" w:pos="2160"/>
        </w:tabs>
        <w:ind w:left="2160" w:hanging="1440"/>
      </w:pPr>
      <w:r>
        <w:t>MWH-PM</w:t>
      </w:r>
      <w:r>
        <w:tab/>
        <w:t xml:space="preserve">Emission limits for </w:t>
      </w:r>
      <w:r w:rsidRPr="00F9569E">
        <w:t xml:space="preserve">PM </w:t>
      </w:r>
      <w:r>
        <w:t>in pounds</w:t>
      </w:r>
      <w:r w:rsidRPr="00204F2F">
        <w:t xml:space="preserve"> per MWh power output</w:t>
      </w:r>
      <w:r>
        <w:t xml:space="preserve"> (for boilers that generate electricity only)</w:t>
      </w:r>
      <w:r w:rsidRPr="00F41925">
        <w:t xml:space="preserve"> </w:t>
      </w:r>
    </w:p>
    <w:p w14:paraId="52F33349" w14:textId="549072F1" w:rsidR="002E59E3" w:rsidRPr="002B5D62" w:rsidRDefault="00E900D9" w:rsidP="00F94A09">
      <w:pPr>
        <w:tabs>
          <w:tab w:val="left" w:pos="720"/>
          <w:tab w:val="left" w:pos="2160"/>
        </w:tabs>
        <w:ind w:left="2160" w:hanging="1440"/>
      </w:pPr>
      <w:r>
        <w:t>MWH-TSM</w:t>
      </w:r>
      <w:r>
        <w:tab/>
        <w:t xml:space="preserve">Emission limits for </w:t>
      </w:r>
      <w:r w:rsidRPr="00F9569E">
        <w:t xml:space="preserve">TSM </w:t>
      </w:r>
      <w:r>
        <w:t>in pounds</w:t>
      </w:r>
      <w:r w:rsidRPr="00204F2F">
        <w:t xml:space="preserve"> per MWh power output</w:t>
      </w:r>
      <w:r>
        <w:t xml:space="preserve"> (for boilers that generate electricity only)</w:t>
      </w:r>
    </w:p>
    <w:p w14:paraId="7C29F7A8" w14:textId="0F23D85C" w:rsidR="00E900D9" w:rsidRPr="00E900D9" w:rsidRDefault="00E900D9" w:rsidP="00EA266D">
      <w:pPr>
        <w:numPr>
          <w:ilvl w:val="0"/>
          <w:numId w:val="25"/>
        </w:numPr>
        <w:tabs>
          <w:tab w:val="left" w:pos="547"/>
        </w:tabs>
        <w:spacing w:before="120"/>
        <w:ind w:left="547" w:hanging="547"/>
        <w:rPr>
          <w:b/>
        </w:rPr>
      </w:pPr>
      <w:r w:rsidRPr="00A11BC9">
        <w:rPr>
          <w:b/>
        </w:rPr>
        <w:t xml:space="preserve">Continue </w:t>
      </w:r>
      <w:r>
        <w:rPr>
          <w:b/>
        </w:rPr>
        <w:t xml:space="preserve">on Table 6d </w:t>
      </w:r>
      <w:r w:rsidRPr="00A11BC9">
        <w:rPr>
          <w:b/>
        </w:rPr>
        <w:t>only if “</w:t>
      </w:r>
      <w:r>
        <w:rPr>
          <w:b/>
        </w:rPr>
        <w:t>PM/TSM-Emission”</w:t>
      </w:r>
      <w:r w:rsidRPr="00A11BC9">
        <w:rPr>
          <w:b/>
        </w:rPr>
        <w:t xml:space="preserve"> is “</w:t>
      </w:r>
      <w:r>
        <w:rPr>
          <w:b/>
        </w:rPr>
        <w:t>BTU-TSM”, “STM-TSM”, or “MWH-TSM.</w:t>
      </w:r>
      <w:r w:rsidRPr="00A11BC9">
        <w:rPr>
          <w:b/>
        </w:rPr>
        <w:t>”</w:t>
      </w:r>
      <w:r>
        <w:rPr>
          <w:b/>
        </w:rPr>
        <w:t>. If “PM/TSM Emission” is “BTU-PM</w:t>
      </w:r>
      <w:r w:rsidR="00F94A09">
        <w:rPr>
          <w:b/>
        </w:rPr>
        <w:t>,”</w:t>
      </w:r>
      <w:r>
        <w:rPr>
          <w:b/>
        </w:rPr>
        <w:t xml:space="preserve"> “STM-PM</w:t>
      </w:r>
      <w:r w:rsidR="00F94A09">
        <w:rPr>
          <w:b/>
        </w:rPr>
        <w:t>,”</w:t>
      </w:r>
      <w:r>
        <w:rPr>
          <w:b/>
        </w:rPr>
        <w:t xml:space="preserve"> or “MWH-PM</w:t>
      </w:r>
      <w:r w:rsidR="00F94A09">
        <w:rPr>
          <w:b/>
        </w:rPr>
        <w:t>,”</w:t>
      </w:r>
      <w:r>
        <w:rPr>
          <w:b/>
        </w:rPr>
        <w:t xml:space="preserve"> skip to Table 6e.</w:t>
      </w:r>
    </w:p>
    <w:p w14:paraId="58653AEC" w14:textId="77777777" w:rsidR="00E900D9" w:rsidRPr="00A04EBB" w:rsidRDefault="00E900D9" w:rsidP="00DB44A3">
      <w:pPr>
        <w:pStyle w:val="StarComplete"/>
        <w:tabs>
          <w:tab w:val="left" w:pos="0"/>
        </w:tabs>
      </w:pPr>
      <w:r w:rsidRPr="00A04EBB">
        <w:t>TSM-CMS:</w:t>
      </w:r>
    </w:p>
    <w:p w14:paraId="3E92623A" w14:textId="43B34308" w:rsidR="00E900D9" w:rsidRPr="00F94A09" w:rsidRDefault="00E900D9" w:rsidP="00DB44A3">
      <w:pPr>
        <w:tabs>
          <w:tab w:val="left" w:pos="0"/>
        </w:tabs>
      </w:pPr>
      <w:r w:rsidRPr="00F94A09">
        <w:t xml:space="preserve">Select one of the following continuous monitoring </w:t>
      </w:r>
      <w:proofErr w:type="gramStart"/>
      <w:r w:rsidR="00DB44A3" w:rsidRPr="00F94A09">
        <w:t>system</w:t>
      </w:r>
      <w:proofErr w:type="gramEnd"/>
      <w:r w:rsidRPr="00F94A09">
        <w:t xml:space="preserve"> (CMS) options. Enter the code on the form.</w:t>
      </w:r>
    </w:p>
    <w:p w14:paraId="10CF1387" w14:textId="77777777" w:rsidR="00E900D9" w:rsidRPr="00523F17" w:rsidRDefault="00E900D9" w:rsidP="00E900D9">
      <w:pPr>
        <w:pStyle w:val="Indention"/>
        <w:ind w:left="2160" w:hanging="1440"/>
        <w:rPr>
          <w:rFonts w:asciiTheme="majorHAnsi" w:hAnsiTheme="majorHAnsi" w:cstheme="majorHAnsi"/>
          <w:b/>
          <w:bCs/>
        </w:rPr>
      </w:pPr>
      <w:r w:rsidRPr="00523F17">
        <w:rPr>
          <w:rStyle w:val="APDCode"/>
          <w:rFonts w:asciiTheme="majorHAnsi" w:hAnsiTheme="majorHAnsi" w:cstheme="majorHAnsi"/>
          <w:b/>
          <w:bCs/>
          <w:u w:val="none"/>
        </w:rPr>
        <w:t>Code</w:t>
      </w:r>
      <w:r w:rsidRPr="00523F17">
        <w:rPr>
          <w:rFonts w:asciiTheme="majorHAnsi" w:hAnsiTheme="majorHAnsi" w:cstheme="majorHAnsi"/>
          <w:b/>
          <w:bCs/>
        </w:rPr>
        <w:tab/>
      </w:r>
      <w:r w:rsidRPr="00523F17">
        <w:rPr>
          <w:rStyle w:val="APDCode"/>
          <w:rFonts w:asciiTheme="majorHAnsi" w:hAnsiTheme="majorHAnsi" w:cstheme="majorHAnsi"/>
          <w:b/>
          <w:bCs/>
          <w:u w:val="none"/>
        </w:rPr>
        <w:t>Description</w:t>
      </w:r>
      <w:r w:rsidRPr="00523F17">
        <w:rPr>
          <w:rFonts w:asciiTheme="majorHAnsi" w:hAnsiTheme="majorHAnsi" w:cstheme="majorHAnsi"/>
          <w:b/>
          <w:bCs/>
        </w:rPr>
        <w:t xml:space="preserve"> </w:t>
      </w:r>
    </w:p>
    <w:p w14:paraId="732CEE51" w14:textId="77777777" w:rsidR="00E900D9" w:rsidRPr="0030067C" w:rsidRDefault="00E900D9" w:rsidP="00E900D9">
      <w:pPr>
        <w:pStyle w:val="Indention"/>
        <w:ind w:left="2160" w:hanging="1440"/>
      </w:pPr>
      <w:r>
        <w:t>TSMCEMS</w:t>
      </w:r>
      <w:r>
        <w:tab/>
        <w:t>TSM CEMS is used</w:t>
      </w:r>
    </w:p>
    <w:p w14:paraId="1DBF962F" w14:textId="44966609" w:rsidR="00E900D9" w:rsidRPr="0030067C" w:rsidRDefault="00E900D9" w:rsidP="00E900D9">
      <w:pPr>
        <w:pStyle w:val="Indention"/>
        <w:ind w:left="2160" w:hanging="1440"/>
      </w:pPr>
      <w:r>
        <w:t>TSMCMS</w:t>
      </w:r>
      <w:r>
        <w:tab/>
        <w:t>TSM CMS other than a TSM CEMS is used</w:t>
      </w:r>
    </w:p>
    <w:p w14:paraId="405846A7" w14:textId="58D542FB" w:rsidR="00E900D9" w:rsidRPr="002B5D62" w:rsidRDefault="00E900D9" w:rsidP="002B5D62">
      <w:pPr>
        <w:ind w:left="2160" w:hanging="1440"/>
      </w:pPr>
      <w:proofErr w:type="gramStart"/>
      <w:r>
        <w:t>NONE</w:t>
      </w:r>
      <w:proofErr w:type="gramEnd"/>
      <w:r>
        <w:tab/>
        <w:t>CMS is not being used</w:t>
      </w:r>
    </w:p>
    <w:p w14:paraId="2EA83004" w14:textId="75EE4B43" w:rsidR="00E900D9" w:rsidRPr="00F6631C" w:rsidRDefault="00E900D9" w:rsidP="00812990">
      <w:pPr>
        <w:numPr>
          <w:ilvl w:val="0"/>
          <w:numId w:val="25"/>
        </w:numPr>
        <w:tabs>
          <w:tab w:val="left" w:pos="547"/>
        </w:tabs>
        <w:spacing w:before="120"/>
        <w:ind w:left="547" w:hanging="547"/>
        <w:rPr>
          <w:b/>
        </w:rPr>
      </w:pPr>
      <w:r w:rsidRPr="00A11BC9">
        <w:rPr>
          <w:b/>
        </w:rPr>
        <w:t xml:space="preserve">Continue </w:t>
      </w:r>
      <w:r>
        <w:rPr>
          <w:b/>
        </w:rPr>
        <w:t xml:space="preserve">on Table 6d </w:t>
      </w:r>
      <w:r w:rsidRPr="00A11BC9">
        <w:rPr>
          <w:b/>
        </w:rPr>
        <w:t>only if “</w:t>
      </w:r>
      <w:r>
        <w:rPr>
          <w:b/>
        </w:rPr>
        <w:t>TSM-CMS”</w:t>
      </w:r>
      <w:r w:rsidRPr="00A11BC9">
        <w:rPr>
          <w:b/>
        </w:rPr>
        <w:t xml:space="preserve"> is “</w:t>
      </w:r>
      <w:r>
        <w:rPr>
          <w:b/>
        </w:rPr>
        <w:t>NONE”. If “TSM-CMS” is “TSMCEMS” or “TSMCMS</w:t>
      </w:r>
      <w:r w:rsidR="00812990">
        <w:rPr>
          <w:b/>
        </w:rPr>
        <w:t>,”</w:t>
      </w:r>
      <w:r>
        <w:rPr>
          <w:b/>
        </w:rPr>
        <w:t xml:space="preserve"> skip to Table 6e.</w:t>
      </w:r>
    </w:p>
    <w:p w14:paraId="560F85B9" w14:textId="51CA33D0" w:rsidR="00F6631C" w:rsidRPr="00F6631C" w:rsidRDefault="00F6631C" w:rsidP="00DB44A3">
      <w:pPr>
        <w:tabs>
          <w:tab w:val="left" w:pos="0"/>
        </w:tabs>
        <w:spacing w:after="0"/>
        <w:rPr>
          <w:rFonts w:eastAsia="Calibri" w:cs="Times New Roman"/>
          <w:b/>
          <w:bCs/>
          <w:szCs w:val="20"/>
          <w:lang w:bidi="en-US"/>
        </w:rPr>
      </w:pPr>
      <w:r w:rsidRPr="00F6631C">
        <w:rPr>
          <w:rFonts w:eastAsia="Calibri" w:cs="Times New Roman"/>
          <w:b/>
          <w:bCs/>
          <w:szCs w:val="20"/>
          <w:lang w:bidi="en-US"/>
        </w:rPr>
        <w:lastRenderedPageBreak/>
        <w:t>TSM-Test:</w:t>
      </w:r>
    </w:p>
    <w:p w14:paraId="2C89F55B" w14:textId="77777777" w:rsidR="00F6631C" w:rsidRPr="00F6631C" w:rsidRDefault="00F6631C" w:rsidP="00DB44A3">
      <w:pPr>
        <w:tabs>
          <w:tab w:val="left" w:pos="0"/>
        </w:tabs>
        <w:rPr>
          <w:rFonts w:eastAsia="Calibri" w:cs="Times New Roman"/>
          <w:szCs w:val="20"/>
          <w:lang w:bidi="en-US"/>
        </w:rPr>
      </w:pPr>
      <w:r w:rsidRPr="00F6631C">
        <w:rPr>
          <w:rFonts w:eastAsia="Calibri" w:cs="Times New Roman"/>
          <w:szCs w:val="20"/>
          <w:lang w:bidi="en-US"/>
        </w:rPr>
        <w:t xml:space="preserve">Select one of the following TSM performance test options. </w:t>
      </w:r>
      <w:r w:rsidRPr="00F6631C">
        <w:rPr>
          <w:rFonts w:asciiTheme="majorHAnsi" w:eastAsia="Calibri" w:hAnsiTheme="majorHAnsi" w:cstheme="majorHAnsi"/>
          <w:szCs w:val="20"/>
          <w:lang w:bidi="en-US"/>
        </w:rPr>
        <w:t>Enter the code on the form.</w:t>
      </w:r>
    </w:p>
    <w:p w14:paraId="43967428" w14:textId="77777777" w:rsidR="00F6631C" w:rsidRPr="00F6631C" w:rsidRDefault="00F6631C" w:rsidP="00F6631C">
      <w:pPr>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Description</w:t>
      </w:r>
    </w:p>
    <w:p w14:paraId="7DF30309" w14:textId="08777D9D"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PT</w:t>
      </w:r>
      <w:r w:rsidRPr="00F6631C">
        <w:rPr>
          <w:rFonts w:eastAsia="Times New Roman" w:cs="Times New Roman"/>
          <w:lang w:bidi="en-US"/>
        </w:rPr>
        <w:tab/>
        <w:t>Compliance is demonstrated by conducting a performance test for TSM</w:t>
      </w:r>
    </w:p>
    <w:p w14:paraId="534696AE" w14:textId="6B1AAF1F" w:rsidR="00F6631C" w:rsidRPr="002B5D62" w:rsidRDefault="00F6631C" w:rsidP="002B5D62">
      <w:pPr>
        <w:ind w:left="2160" w:hanging="1440"/>
        <w:rPr>
          <w:rFonts w:eastAsia="Times New Roman" w:cs="Times New Roman"/>
          <w:lang w:bidi="en-US"/>
        </w:rPr>
      </w:pPr>
      <w:r w:rsidRPr="00F6631C">
        <w:rPr>
          <w:rFonts w:eastAsia="Times New Roman" w:cs="Times New Roman"/>
          <w:lang w:bidi="en-US"/>
        </w:rPr>
        <w:t>NPT</w:t>
      </w:r>
      <w:r w:rsidRPr="00F6631C">
        <w:rPr>
          <w:rFonts w:eastAsia="Times New Roman" w:cs="Times New Roman"/>
          <w:lang w:bidi="en-US"/>
        </w:rPr>
        <w:tab/>
        <w:t>A performance test is not being used</w:t>
      </w:r>
    </w:p>
    <w:p w14:paraId="4C5697B4" w14:textId="77777777" w:rsidR="00F6631C" w:rsidRDefault="00F6631C" w:rsidP="00DB44A3">
      <w:pPr>
        <w:tabs>
          <w:tab w:val="left" w:pos="0"/>
        </w:tabs>
        <w:spacing w:after="0"/>
        <w:rPr>
          <w:b/>
        </w:rPr>
      </w:pPr>
      <w:r>
        <w:rPr>
          <w:b/>
        </w:rPr>
        <w:t>TSM-FA:</w:t>
      </w:r>
    </w:p>
    <w:p w14:paraId="3106BA12" w14:textId="77777777" w:rsidR="00F6631C" w:rsidRDefault="00F6631C" w:rsidP="00DB44A3">
      <w:pPr>
        <w:tabs>
          <w:tab w:val="left" w:pos="0"/>
        </w:tabs>
      </w:pPr>
      <w:r w:rsidRPr="00C61FD3">
        <w:t xml:space="preserve">Select one of the following </w:t>
      </w:r>
      <w:r>
        <w:t xml:space="preserve">TSM fuel analysis options. </w:t>
      </w:r>
      <w:r w:rsidRPr="00DC71B0">
        <w:rPr>
          <w:rFonts w:asciiTheme="majorHAnsi" w:hAnsiTheme="majorHAnsi" w:cstheme="majorHAnsi"/>
        </w:rPr>
        <w:t>Enter the code on the form</w:t>
      </w:r>
      <w:r>
        <w:rPr>
          <w:rFonts w:asciiTheme="majorHAnsi" w:hAnsiTheme="majorHAnsi" w:cstheme="majorHAnsi"/>
        </w:rPr>
        <w:t>.</w:t>
      </w:r>
    </w:p>
    <w:p w14:paraId="6A1D0AAB" w14:textId="77777777" w:rsidR="00F6631C" w:rsidRPr="00A04EBB" w:rsidRDefault="00F6631C" w:rsidP="00F6631C">
      <w:pPr>
        <w:pStyle w:val="Indention"/>
        <w:ind w:left="2160" w:hanging="1440"/>
        <w:rPr>
          <w:rFonts w:asciiTheme="majorHAnsi" w:hAnsiTheme="majorHAnsi" w:cstheme="majorHAnsi"/>
          <w:b/>
          <w:bCs/>
        </w:rPr>
      </w:pPr>
      <w:r w:rsidRPr="00A04EBB">
        <w:rPr>
          <w:rStyle w:val="APDCode"/>
          <w:rFonts w:asciiTheme="majorHAnsi" w:hAnsiTheme="majorHAnsi" w:cstheme="majorHAnsi"/>
          <w:b/>
          <w:bCs/>
          <w:u w:val="none"/>
        </w:rPr>
        <w:t>Code</w:t>
      </w:r>
      <w:r w:rsidRPr="00A04EBB">
        <w:rPr>
          <w:rFonts w:asciiTheme="majorHAnsi" w:hAnsiTheme="majorHAnsi" w:cstheme="majorHAnsi"/>
          <w:b/>
          <w:bCs/>
        </w:rPr>
        <w:tab/>
      </w:r>
      <w:r w:rsidRPr="00A04EBB">
        <w:rPr>
          <w:rStyle w:val="APDCode"/>
          <w:rFonts w:asciiTheme="majorHAnsi" w:hAnsiTheme="majorHAnsi" w:cstheme="majorHAnsi"/>
          <w:b/>
          <w:bCs/>
          <w:u w:val="none"/>
        </w:rPr>
        <w:t>Description</w:t>
      </w:r>
    </w:p>
    <w:p w14:paraId="772F42EB" w14:textId="79BD3637" w:rsidR="00F6631C" w:rsidRPr="0030067C" w:rsidRDefault="00F6631C" w:rsidP="00F6631C">
      <w:pPr>
        <w:pStyle w:val="Indention"/>
        <w:ind w:left="2160" w:hanging="1440"/>
      </w:pPr>
      <w:r>
        <w:t>FA</w:t>
      </w:r>
      <w:r w:rsidRPr="0030067C">
        <w:tab/>
      </w:r>
      <w:r>
        <w:t>Compliance is demonstrated by conducting fuel analysis for TSM</w:t>
      </w:r>
    </w:p>
    <w:p w14:paraId="6B273ACA" w14:textId="6AD5C2DB" w:rsidR="00F6631C" w:rsidRPr="0030067C" w:rsidRDefault="00F6631C" w:rsidP="00F6631C">
      <w:pPr>
        <w:pStyle w:val="Indention"/>
        <w:ind w:left="2160" w:hanging="1440"/>
      </w:pPr>
      <w:r>
        <w:t>NFA</w:t>
      </w:r>
      <w:r w:rsidRPr="0030067C">
        <w:tab/>
      </w:r>
      <w:r>
        <w:t>Fuel analysis is not being used</w:t>
      </w:r>
    </w:p>
    <w:p w14:paraId="2866F598" w14:textId="77777777" w:rsidR="00F6631C" w:rsidRPr="00EF0801" w:rsidRDefault="00F6631C" w:rsidP="00F6631C">
      <w:pPr>
        <w:pBdr>
          <w:bottom w:val="double" w:sz="4" w:space="1" w:color="auto"/>
        </w:pBdr>
      </w:pPr>
    </w:p>
    <w:bookmarkStart w:id="25" w:name="Table_6e"/>
    <w:p w14:paraId="10E87FF9" w14:textId="06848438" w:rsidR="00F6631C" w:rsidRDefault="00C4350F" w:rsidP="00BE0782">
      <w:pPr>
        <w:ind w:left="1440" w:hanging="1440"/>
        <w:rPr>
          <w:b/>
          <w:bCs/>
        </w:rPr>
      </w:pPr>
      <w:r w:rsidRPr="00273CFE">
        <w:rPr>
          <w:rStyle w:val="Hyperlink"/>
          <w:bCs/>
        </w:rPr>
        <w:fldChar w:fldCharType="begin"/>
      </w:r>
      <w:r w:rsidR="00765060">
        <w:rPr>
          <w:rStyle w:val="Hyperlink"/>
          <w:bCs/>
        </w:rPr>
        <w:instrText>HYPERLINK  \l "TBL6e" \o "Table 6e"</w:instrText>
      </w:r>
      <w:r w:rsidRPr="00273CFE">
        <w:rPr>
          <w:rStyle w:val="Hyperlink"/>
          <w:bCs/>
        </w:rPr>
      </w:r>
      <w:r w:rsidRPr="00273CFE">
        <w:rPr>
          <w:rStyle w:val="Hyperlink"/>
          <w:bCs/>
        </w:rPr>
        <w:fldChar w:fldCharType="separate"/>
      </w:r>
      <w:r w:rsidR="00F6631C" w:rsidRPr="00273CFE">
        <w:rPr>
          <w:rStyle w:val="Hyperlink"/>
          <w:b/>
          <w:bCs/>
        </w:rPr>
        <w:t>Table 6e</w:t>
      </w:r>
      <w:bookmarkEnd w:id="25"/>
      <w:r w:rsidRPr="00273CFE">
        <w:rPr>
          <w:rStyle w:val="Hyperlink"/>
          <w:bCs/>
        </w:rPr>
        <w:fldChar w:fldCharType="end"/>
      </w:r>
      <w:r w:rsidR="00F6631C" w:rsidRPr="00EF0801">
        <w:rPr>
          <w:b/>
        </w:rPr>
        <w:t>:</w:t>
      </w:r>
      <w:r w:rsidR="00F6631C" w:rsidRPr="00EF0801">
        <w:rPr>
          <w:b/>
        </w:rPr>
        <w:tab/>
        <w:t>Title 40 Code of Federal Regulations Part 63 (40 CFR Part 63)</w:t>
      </w:r>
      <w:r w:rsidR="00F6631C">
        <w:rPr>
          <w:b/>
        </w:rPr>
        <w:t xml:space="preserve">, </w:t>
      </w:r>
      <w:r w:rsidR="00F6631C" w:rsidRPr="00EF0801">
        <w:rPr>
          <w:b/>
        </w:rPr>
        <w:t xml:space="preserve">Subpart </w:t>
      </w:r>
      <w:r w:rsidR="00F6631C">
        <w:rPr>
          <w:b/>
        </w:rPr>
        <w:t>DDDDD</w:t>
      </w:r>
      <w:r w:rsidR="00F6631C" w:rsidRPr="00EF0801">
        <w:rPr>
          <w:b/>
        </w:rPr>
        <w:t xml:space="preserve">:  </w:t>
      </w:r>
      <w:r w:rsidR="00F6631C" w:rsidRPr="00495923">
        <w:rPr>
          <w:b/>
          <w:bCs/>
        </w:rPr>
        <w:t xml:space="preserve">Industrial, Commercial, and </w:t>
      </w:r>
      <w:r w:rsidR="007C0D8B">
        <w:rPr>
          <w:b/>
          <w:bCs/>
        </w:rPr>
        <w:t>Institutional</w:t>
      </w:r>
      <w:r w:rsidR="007C0D8B" w:rsidRPr="00495923">
        <w:rPr>
          <w:b/>
          <w:bCs/>
        </w:rPr>
        <w:t xml:space="preserve"> </w:t>
      </w:r>
      <w:r w:rsidR="00F6631C">
        <w:rPr>
          <w:b/>
          <w:bCs/>
        </w:rPr>
        <w:t>Process Heater</w:t>
      </w:r>
      <w:r w:rsidR="00F6631C" w:rsidRPr="00495923">
        <w:rPr>
          <w:b/>
          <w:bCs/>
        </w:rPr>
        <w:t>s</w:t>
      </w:r>
    </w:p>
    <w:p w14:paraId="42821CF8" w14:textId="5588F11D" w:rsidR="00F6631C" w:rsidRDefault="00F6631C" w:rsidP="002B5D62">
      <w:pPr>
        <w:pStyle w:val="ListParagraph"/>
        <w:numPr>
          <w:ilvl w:val="0"/>
          <w:numId w:val="24"/>
        </w:numPr>
        <w:tabs>
          <w:tab w:val="left" w:pos="547"/>
        </w:tabs>
        <w:spacing w:before="120"/>
        <w:ind w:left="547" w:hanging="547"/>
        <w:rPr>
          <w:b/>
          <w:bCs/>
        </w:rPr>
      </w:pPr>
      <w:r w:rsidRPr="00494396">
        <w:rPr>
          <w:b/>
        </w:rPr>
        <w:t>Complete this table</w:t>
      </w:r>
      <w:r>
        <w:rPr>
          <w:b/>
        </w:rPr>
        <w:t xml:space="preserve"> </w:t>
      </w:r>
      <w:r w:rsidRPr="00A11BC9">
        <w:rPr>
          <w:b/>
        </w:rPr>
        <w:t>only if “</w:t>
      </w:r>
      <w:r w:rsidRPr="00A60DB3">
        <w:rPr>
          <w:b/>
        </w:rPr>
        <w:t>only if “</w:t>
      </w:r>
      <w:r>
        <w:rPr>
          <w:b/>
        </w:rPr>
        <w:t xml:space="preserve">PM/TSM Emission” </w:t>
      </w:r>
      <w:r w:rsidRPr="00A60DB3">
        <w:rPr>
          <w:b/>
        </w:rPr>
        <w:t>is “</w:t>
      </w:r>
      <w:r>
        <w:rPr>
          <w:b/>
        </w:rPr>
        <w:t>BTU-PM</w:t>
      </w:r>
      <w:r w:rsidR="003104B4">
        <w:rPr>
          <w:b/>
        </w:rPr>
        <w:t>,”</w:t>
      </w:r>
      <w:r>
        <w:rPr>
          <w:b/>
        </w:rPr>
        <w:t xml:space="preserve"> “STM-PM</w:t>
      </w:r>
      <w:r w:rsidR="003104B4">
        <w:rPr>
          <w:b/>
        </w:rPr>
        <w:t>,”</w:t>
      </w:r>
      <w:r>
        <w:rPr>
          <w:b/>
        </w:rPr>
        <w:t xml:space="preserve"> or “MWH-PM.”</w:t>
      </w:r>
    </w:p>
    <w:p w14:paraId="149E21B3" w14:textId="77777777" w:rsidR="00F6631C" w:rsidRPr="00EF0801" w:rsidRDefault="00F6631C" w:rsidP="00DB44A3">
      <w:pPr>
        <w:tabs>
          <w:tab w:val="left" w:pos="0"/>
        </w:tabs>
        <w:spacing w:after="0"/>
      </w:pPr>
      <w:r w:rsidRPr="00EF0801">
        <w:rPr>
          <w:b/>
        </w:rPr>
        <w:t>Unit ID No</w:t>
      </w:r>
      <w:r w:rsidRPr="00812990">
        <w:rPr>
          <w:b/>
          <w:bCs/>
        </w:rPr>
        <w:t>.:</w:t>
      </w:r>
    </w:p>
    <w:p w14:paraId="117F8E12" w14:textId="77777777" w:rsidR="00F6631C" w:rsidRPr="00EF0801" w:rsidRDefault="00F6631C" w:rsidP="00DB44A3">
      <w:pPr>
        <w:tabs>
          <w:tab w:val="left" w:pos="0"/>
        </w:tabs>
      </w:pPr>
      <w:r w:rsidRPr="00EF0801">
        <w:t>Enter the identification number (ID No.) for the unit (maximum 10 characters) as listed on Form OP SUM (Individual</w:t>
      </w:r>
      <w:r>
        <w:t> </w:t>
      </w:r>
      <w:r w:rsidRPr="00EF0801">
        <w:t>Unit Summary).</w:t>
      </w:r>
    </w:p>
    <w:p w14:paraId="657A0B4C" w14:textId="77777777" w:rsidR="00F6631C" w:rsidRPr="00EF0801" w:rsidRDefault="00F6631C" w:rsidP="00DB44A3">
      <w:pPr>
        <w:tabs>
          <w:tab w:val="left" w:pos="0"/>
        </w:tabs>
        <w:spacing w:after="0"/>
      </w:pPr>
      <w:r w:rsidRPr="0030067C">
        <w:rPr>
          <w:rStyle w:val="APDQuestion"/>
        </w:rPr>
        <w:t>SOP/</w:t>
      </w:r>
      <w:r w:rsidRPr="00EF0801">
        <w:rPr>
          <w:b/>
        </w:rPr>
        <w:t>GOP Index No.</w:t>
      </w:r>
      <w:r w:rsidRPr="00812990">
        <w:rPr>
          <w:b/>
          <w:bCs/>
        </w:rPr>
        <w:t>:</w:t>
      </w:r>
    </w:p>
    <w:p w14:paraId="16105CBF" w14:textId="7BF5AB38" w:rsidR="00F6631C" w:rsidRDefault="00F6631C" w:rsidP="0000228E">
      <w:pPr>
        <w:tabs>
          <w:tab w:val="left" w:pos="0"/>
        </w:tabs>
      </w:pPr>
      <w:r w:rsidRPr="00DC71B0">
        <w:rPr>
          <w:rFonts w:asciiTheme="majorHAnsi" w:hAnsiTheme="majorHAnsi" w:cstheme="majorHAnsi"/>
        </w:rPr>
        <w:t>Site operating permit (SOP) applicants should indicate the SOP index number for the unit or group of units (maximum</w:t>
      </w:r>
      <w:r>
        <w:rPr>
          <w:rFonts w:asciiTheme="majorHAnsi" w:hAnsiTheme="majorHAnsi" w:cstheme="majorHAnsi"/>
        </w:rPr>
        <w:t> </w:t>
      </w:r>
      <w:r w:rsidRPr="00DC71B0">
        <w:rPr>
          <w:rFonts w:asciiTheme="majorHAnsi" w:hAnsiTheme="majorHAnsi" w:cstheme="majorHAnsi"/>
        </w:rPr>
        <w:t>15</w:t>
      </w:r>
      <w:r>
        <w:rPr>
          <w:rFonts w:asciiTheme="majorHAnsi" w:hAnsiTheme="majorHAnsi" w:cstheme="majorHAnsi"/>
        </w:rPr>
        <w:t> </w:t>
      </w:r>
      <w:r w:rsidRPr="00DC71B0">
        <w:rPr>
          <w:rFonts w:asciiTheme="majorHAnsi" w:hAnsiTheme="majorHAnsi" w:cstheme="majorHAnsi"/>
        </w:rPr>
        <w:t xml:space="preserve">characters consisting of numeric, alphanumeric characters, and/or dashes prefixed by a code for the applicable regulation [i.e., 60KB-XXXX]).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5229A3" w:rsidRPr="00436B50">
        <w:rPr>
          <w:rFonts w:cs="Times New Roman"/>
        </w:rPr>
        <w:t xml:space="preserve">For additional information relating to SOP and GOP index numbers, please see the Completing FOP Applications – Additional Guidance on the TCEQ website at </w:t>
      </w:r>
      <w:hyperlink r:id="rId24" w:tooltip="TCEQ - Completing FOP Applications - Additional Guidance" w:history="1">
        <w:r w:rsidR="005229A3" w:rsidRPr="00273CFE">
          <w:rPr>
            <w:rStyle w:val="Hyperlink"/>
          </w:rPr>
          <w:t>www.tceq.texas.gov/permitting/air/guidance/titlev/tv_fop_guidance.html</w:t>
        </w:r>
      </w:hyperlink>
      <w:r w:rsidRPr="00793C3D">
        <w:rPr>
          <w:rStyle w:val="Hyperlink"/>
          <w:color w:val="auto"/>
          <w:u w:val="none"/>
        </w:rPr>
        <w:t>.</w:t>
      </w:r>
    </w:p>
    <w:p w14:paraId="624C9902" w14:textId="4B4A74D5" w:rsidR="00F6631C" w:rsidRPr="002B5D62" w:rsidRDefault="00F6631C" w:rsidP="0000228E">
      <w:pPr>
        <w:pStyle w:val="ListParagraph"/>
        <w:numPr>
          <w:ilvl w:val="0"/>
          <w:numId w:val="24"/>
        </w:numPr>
        <w:tabs>
          <w:tab w:val="left" w:pos="547"/>
        </w:tabs>
        <w:spacing w:before="120"/>
        <w:ind w:left="547" w:hanging="547"/>
        <w:rPr>
          <w:b/>
          <w:bCs/>
        </w:rPr>
      </w:pPr>
      <w:r w:rsidRPr="00494396">
        <w:rPr>
          <w:b/>
        </w:rPr>
        <w:t xml:space="preserve">Complete </w:t>
      </w:r>
      <w:r>
        <w:rPr>
          <w:b/>
        </w:rPr>
        <w:t xml:space="preserve">“PM-250” </w:t>
      </w:r>
      <w:r w:rsidRPr="00A60DB3">
        <w:rPr>
          <w:b/>
        </w:rPr>
        <w:t>only if “</w:t>
      </w:r>
      <w:r>
        <w:rPr>
          <w:b/>
        </w:rPr>
        <w:t>Table Applicability” is “SFF10” or “HLL10.”</w:t>
      </w:r>
      <w:r>
        <w:rPr>
          <w:b/>
          <w:bCs/>
        </w:rPr>
        <w:t xml:space="preserve"> </w:t>
      </w:r>
    </w:p>
    <w:p w14:paraId="2944AFA3" w14:textId="77777777" w:rsidR="00F6631C" w:rsidRDefault="00F6631C" w:rsidP="00DB44A3">
      <w:pPr>
        <w:tabs>
          <w:tab w:val="left" w:pos="0"/>
        </w:tabs>
        <w:spacing w:after="0"/>
        <w:rPr>
          <w:b/>
        </w:rPr>
      </w:pPr>
      <w:r>
        <w:rPr>
          <w:b/>
        </w:rPr>
        <w:t>PM-250</w:t>
      </w:r>
      <w:r w:rsidRPr="004831A7">
        <w:rPr>
          <w:b/>
        </w:rPr>
        <w:t>:</w:t>
      </w:r>
    </w:p>
    <w:p w14:paraId="4B12CFCA" w14:textId="77777777" w:rsidR="00F6631C" w:rsidRPr="00A04EBB" w:rsidRDefault="00F6631C" w:rsidP="00DB44A3">
      <w:pPr>
        <w:tabs>
          <w:tab w:val="left" w:pos="0"/>
        </w:tabs>
        <w:rPr>
          <w:b/>
        </w:rPr>
      </w:pPr>
      <w:r w:rsidRPr="00EF0801">
        <w:t xml:space="preserve">Select one of the following options for the </w:t>
      </w:r>
      <w:r>
        <w:t xml:space="preserve">average </w:t>
      </w:r>
      <w:r w:rsidRPr="00EF0801">
        <w:t>annual heat input.</w:t>
      </w:r>
      <w:r>
        <w:t xml:space="preserve"> </w:t>
      </w:r>
      <w:r w:rsidRPr="00DC71B0">
        <w:rPr>
          <w:rFonts w:asciiTheme="majorHAnsi" w:hAnsiTheme="majorHAnsi" w:cstheme="majorHAnsi"/>
        </w:rPr>
        <w:t>Enter the code on the form.</w:t>
      </w:r>
    </w:p>
    <w:p w14:paraId="2BBA657B" w14:textId="77777777" w:rsidR="00F6631C" w:rsidRPr="00A04EBB" w:rsidRDefault="00F6631C" w:rsidP="00F6631C">
      <w:pPr>
        <w:pStyle w:val="Indention"/>
        <w:ind w:left="2160" w:hanging="1440"/>
        <w:rPr>
          <w:rFonts w:asciiTheme="majorHAnsi" w:hAnsiTheme="majorHAnsi" w:cstheme="majorHAnsi"/>
          <w:b/>
          <w:bCs/>
        </w:rPr>
      </w:pPr>
      <w:r w:rsidRPr="00A04EBB">
        <w:rPr>
          <w:rStyle w:val="APDCode"/>
          <w:rFonts w:asciiTheme="majorHAnsi" w:hAnsiTheme="majorHAnsi" w:cstheme="majorHAnsi"/>
          <w:b/>
          <w:bCs/>
          <w:u w:val="none"/>
        </w:rPr>
        <w:t>Code</w:t>
      </w:r>
      <w:r w:rsidRPr="00A04EBB">
        <w:rPr>
          <w:rFonts w:asciiTheme="majorHAnsi" w:hAnsiTheme="majorHAnsi" w:cstheme="majorHAnsi"/>
          <w:b/>
          <w:bCs/>
        </w:rPr>
        <w:tab/>
      </w:r>
      <w:r w:rsidRPr="00A04EBB">
        <w:rPr>
          <w:rStyle w:val="APDCode"/>
          <w:rFonts w:asciiTheme="majorHAnsi" w:hAnsiTheme="majorHAnsi" w:cstheme="majorHAnsi"/>
          <w:b/>
          <w:bCs/>
          <w:u w:val="none"/>
        </w:rPr>
        <w:t>Description</w:t>
      </w:r>
      <w:r w:rsidRPr="00A04EBB">
        <w:rPr>
          <w:rFonts w:asciiTheme="majorHAnsi" w:hAnsiTheme="majorHAnsi" w:cstheme="majorHAnsi"/>
          <w:b/>
          <w:bCs/>
        </w:rPr>
        <w:t xml:space="preserve"> </w:t>
      </w:r>
    </w:p>
    <w:p w14:paraId="28D3E525" w14:textId="42A3A5BF" w:rsidR="00F6631C" w:rsidRPr="0030067C" w:rsidRDefault="00F6631C" w:rsidP="00F6631C">
      <w:pPr>
        <w:pStyle w:val="Indention"/>
        <w:ind w:left="2160" w:hanging="1440"/>
      </w:pPr>
      <w:r>
        <w:t>250+</w:t>
      </w:r>
      <w:r>
        <w:tab/>
        <w:t xml:space="preserve">Average annual heat input rate is greater than 250 MMBtu per hour from solid fossil fuel </w:t>
      </w:r>
      <w:r w:rsidRPr="000409E0">
        <w:t>and/or heavy liquid</w:t>
      </w:r>
      <w:r>
        <w:t xml:space="preserve"> fuel</w:t>
      </w:r>
    </w:p>
    <w:p w14:paraId="640A7E87" w14:textId="1B1A5972" w:rsidR="00F6631C" w:rsidRDefault="00F6631C" w:rsidP="002B5D62">
      <w:pPr>
        <w:pStyle w:val="Indention"/>
        <w:spacing w:after="120"/>
        <w:ind w:left="2160" w:hanging="1440"/>
      </w:pPr>
      <w:r>
        <w:t>250-</w:t>
      </w:r>
      <w:r>
        <w:tab/>
        <w:t xml:space="preserve">Average annual heat input rate is less than or equal to 250 MMBtu per hour from solid fossil fuel </w:t>
      </w:r>
      <w:r w:rsidRPr="000409E0">
        <w:t>and/or heavy liquid</w:t>
      </w:r>
      <w:r>
        <w:t xml:space="preserve"> fuel</w:t>
      </w:r>
    </w:p>
    <w:p w14:paraId="01B984CF" w14:textId="77777777" w:rsidR="00F6631C" w:rsidRDefault="00F6631C" w:rsidP="00DB44A3">
      <w:pPr>
        <w:tabs>
          <w:tab w:val="left" w:pos="0"/>
        </w:tabs>
        <w:spacing w:after="0"/>
        <w:rPr>
          <w:rFonts w:asciiTheme="majorHAnsi" w:hAnsiTheme="majorHAnsi" w:cstheme="majorHAnsi"/>
          <w:b/>
          <w:bCs/>
        </w:rPr>
      </w:pPr>
      <w:r>
        <w:rPr>
          <w:rFonts w:asciiTheme="majorHAnsi" w:hAnsiTheme="majorHAnsi" w:cstheme="majorHAnsi"/>
          <w:b/>
          <w:bCs/>
        </w:rPr>
        <w:t>PM-CMS:</w:t>
      </w:r>
    </w:p>
    <w:p w14:paraId="3C03F157" w14:textId="77777777" w:rsidR="00F6631C" w:rsidRPr="00F6631C" w:rsidRDefault="00F6631C" w:rsidP="00DB44A3">
      <w:pPr>
        <w:tabs>
          <w:tab w:val="left" w:pos="0"/>
        </w:tabs>
        <w:rPr>
          <w:rFonts w:eastAsia="Calibri" w:cs="Times New Roman"/>
          <w:szCs w:val="20"/>
          <w:lang w:bidi="en-US"/>
        </w:rPr>
      </w:pPr>
      <w:r w:rsidRPr="00F6631C">
        <w:rPr>
          <w:rFonts w:eastAsia="Calibri" w:cs="Times New Roman"/>
          <w:szCs w:val="20"/>
          <w:lang w:bidi="en-US"/>
        </w:rPr>
        <w:t xml:space="preserve">Select one of the following continuous monitoring </w:t>
      </w:r>
      <w:proofErr w:type="gramStart"/>
      <w:r w:rsidRPr="00F6631C">
        <w:rPr>
          <w:rFonts w:eastAsia="Calibri" w:cs="Times New Roman"/>
          <w:szCs w:val="20"/>
          <w:lang w:bidi="en-US"/>
        </w:rPr>
        <w:t>system</w:t>
      </w:r>
      <w:proofErr w:type="gramEnd"/>
      <w:r w:rsidRPr="00F6631C">
        <w:rPr>
          <w:rFonts w:eastAsia="Calibri" w:cs="Times New Roman"/>
          <w:szCs w:val="20"/>
          <w:lang w:bidi="en-US"/>
        </w:rPr>
        <w:t xml:space="preserve"> (CMS) options. </w:t>
      </w:r>
      <w:r w:rsidRPr="00F6631C">
        <w:rPr>
          <w:rFonts w:asciiTheme="majorHAnsi" w:eastAsia="Calibri" w:hAnsiTheme="majorHAnsi" w:cstheme="majorHAnsi"/>
          <w:szCs w:val="20"/>
          <w:lang w:bidi="en-US"/>
        </w:rPr>
        <w:t>Enter the code on the form.</w:t>
      </w:r>
    </w:p>
    <w:p w14:paraId="7E4E5CF6" w14:textId="77777777" w:rsidR="00F6631C" w:rsidRPr="00F6631C" w:rsidRDefault="00F6631C" w:rsidP="00F6631C">
      <w:pPr>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 xml:space="preserve">Description </w:t>
      </w:r>
    </w:p>
    <w:p w14:paraId="1F5138B7" w14:textId="5CE621B6"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PMCEMS</w:t>
      </w:r>
      <w:r w:rsidRPr="00F6631C">
        <w:rPr>
          <w:rFonts w:eastAsia="Times New Roman" w:cs="Times New Roman"/>
          <w:lang w:bidi="en-US"/>
        </w:rPr>
        <w:tab/>
        <w:t>PM CEMS is used</w:t>
      </w:r>
    </w:p>
    <w:p w14:paraId="09F974F6" w14:textId="03A81EE9"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PMCMS</w:t>
      </w:r>
      <w:r w:rsidRPr="00F6631C">
        <w:rPr>
          <w:rFonts w:eastAsia="Times New Roman" w:cs="Times New Roman"/>
          <w:lang w:bidi="en-US"/>
        </w:rPr>
        <w:tab/>
        <w:t>PM CMS other than a PM CEMS is used</w:t>
      </w:r>
    </w:p>
    <w:p w14:paraId="4208C8D9" w14:textId="63B67150"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PMCPMS</w:t>
      </w:r>
      <w:r w:rsidRPr="00F6631C">
        <w:rPr>
          <w:rFonts w:eastAsia="Times New Roman" w:cs="Times New Roman"/>
          <w:lang w:bidi="en-US"/>
        </w:rPr>
        <w:tab/>
        <w:t xml:space="preserve">PM CPMS is used to monitor a PM control device </w:t>
      </w:r>
    </w:p>
    <w:p w14:paraId="4A1D6CFE" w14:textId="6925EB64" w:rsidR="00F6631C" w:rsidRPr="002B5D62" w:rsidRDefault="00F6631C" w:rsidP="002B5D62">
      <w:pPr>
        <w:spacing w:after="0"/>
        <w:ind w:left="2160" w:hanging="1440"/>
        <w:rPr>
          <w:rFonts w:eastAsia="Times New Roman" w:cs="Times New Roman"/>
          <w:lang w:bidi="en-US"/>
        </w:rPr>
      </w:pPr>
      <w:proofErr w:type="gramStart"/>
      <w:r w:rsidRPr="00F6631C">
        <w:rPr>
          <w:rFonts w:eastAsia="Times New Roman" w:cs="Times New Roman"/>
          <w:lang w:bidi="en-US"/>
        </w:rPr>
        <w:t>NONE</w:t>
      </w:r>
      <w:proofErr w:type="gramEnd"/>
      <w:r w:rsidRPr="00F6631C">
        <w:rPr>
          <w:rFonts w:eastAsia="Times New Roman" w:cs="Times New Roman"/>
          <w:lang w:bidi="en-US"/>
        </w:rPr>
        <w:tab/>
        <w:t>CMS is not being used. (</w:t>
      </w:r>
      <w:proofErr w:type="gramStart"/>
      <w:r w:rsidRPr="00F6631C">
        <w:rPr>
          <w:rFonts w:eastAsia="Times New Roman" w:cs="Times New Roman"/>
          <w:lang w:bidi="en-US"/>
        </w:rPr>
        <w:t>not</w:t>
      </w:r>
      <w:proofErr w:type="gramEnd"/>
      <w:r w:rsidRPr="00F6631C">
        <w:rPr>
          <w:rFonts w:eastAsia="Times New Roman" w:cs="Times New Roman"/>
          <w:lang w:bidi="en-US"/>
        </w:rPr>
        <w:t xml:space="preserve"> a valid entry if “PM-250” is “250+”)</w:t>
      </w:r>
    </w:p>
    <w:p w14:paraId="42DC3D8E" w14:textId="7C9359BF" w:rsidR="00F6631C" w:rsidRPr="00F6631C" w:rsidRDefault="00F6631C" w:rsidP="00E56449">
      <w:pPr>
        <w:keepNext/>
        <w:keepLines/>
        <w:numPr>
          <w:ilvl w:val="0"/>
          <w:numId w:val="25"/>
        </w:numPr>
        <w:tabs>
          <w:tab w:val="left" w:pos="547"/>
        </w:tabs>
        <w:spacing w:before="120" w:after="0"/>
        <w:ind w:left="547" w:hanging="547"/>
        <w:rPr>
          <w:b/>
        </w:rPr>
      </w:pPr>
      <w:r w:rsidRPr="00F6631C">
        <w:rPr>
          <w:b/>
        </w:rPr>
        <w:lastRenderedPageBreak/>
        <w:t xml:space="preserve">Continue on Table 6e only if “PM-CMS” is “NONE” or “PMCMS”. </w:t>
      </w:r>
      <w:bookmarkStart w:id="26" w:name="_Hlk66861171"/>
      <w:r w:rsidRPr="00F6631C">
        <w:rPr>
          <w:b/>
        </w:rPr>
        <w:t>If “PM-CMS” is “PMCEMS” or “PMCPMS</w:t>
      </w:r>
      <w:r w:rsidR="00BE0782" w:rsidRPr="00F6631C">
        <w:rPr>
          <w:b/>
        </w:rPr>
        <w:t>,”</w:t>
      </w:r>
      <w:r w:rsidRPr="00F6631C">
        <w:rPr>
          <w:b/>
        </w:rPr>
        <w:t xml:space="preserve"> skip to Table 6f.</w:t>
      </w:r>
      <w:bookmarkEnd w:id="26"/>
    </w:p>
    <w:p w14:paraId="234F7E68" w14:textId="47C53FDA" w:rsidR="00F6631C" w:rsidRDefault="00F6631C" w:rsidP="00E56449">
      <w:pPr>
        <w:keepNext/>
        <w:keepLines/>
        <w:tabs>
          <w:tab w:val="left" w:pos="0"/>
        </w:tabs>
        <w:spacing w:after="0"/>
        <w:rPr>
          <w:b/>
        </w:rPr>
      </w:pPr>
      <w:r>
        <w:rPr>
          <w:b/>
        </w:rPr>
        <w:t>PM-CD:</w:t>
      </w:r>
    </w:p>
    <w:p w14:paraId="007810B3" w14:textId="77777777" w:rsidR="00F6631C" w:rsidRPr="00F6631C" w:rsidRDefault="00F6631C" w:rsidP="00E56449">
      <w:pPr>
        <w:keepNext/>
        <w:keepLines/>
        <w:tabs>
          <w:tab w:val="left" w:pos="0"/>
        </w:tabs>
        <w:rPr>
          <w:rFonts w:eastAsia="Calibri" w:cs="Times New Roman"/>
          <w:szCs w:val="20"/>
          <w:lang w:bidi="en-US"/>
        </w:rPr>
      </w:pPr>
      <w:r w:rsidRPr="00F6631C">
        <w:rPr>
          <w:rFonts w:eastAsia="Calibri" w:cs="Times New Roman"/>
          <w:szCs w:val="20"/>
          <w:lang w:bidi="en-US"/>
        </w:rPr>
        <w:t xml:space="preserve">Select one of the following PM control device options. </w:t>
      </w:r>
      <w:r w:rsidRPr="00F6631C">
        <w:rPr>
          <w:rFonts w:asciiTheme="majorHAnsi" w:eastAsia="Calibri" w:hAnsiTheme="majorHAnsi" w:cstheme="majorHAnsi"/>
          <w:szCs w:val="20"/>
          <w:lang w:bidi="en-US"/>
        </w:rPr>
        <w:t>Enter the code on the form.</w:t>
      </w:r>
    </w:p>
    <w:p w14:paraId="192544AC" w14:textId="77777777" w:rsidR="00F6631C" w:rsidRPr="00F6631C" w:rsidRDefault="00F6631C" w:rsidP="00585854">
      <w:pPr>
        <w:keepNext/>
        <w:keepLines/>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Description</w:t>
      </w:r>
    </w:p>
    <w:p w14:paraId="45C84351" w14:textId="6EC459A8" w:rsidR="00F6631C" w:rsidRPr="00F6631C" w:rsidRDefault="00F6631C" w:rsidP="00585854">
      <w:pPr>
        <w:keepNext/>
        <w:keepLines/>
        <w:spacing w:after="0"/>
        <w:ind w:left="2160" w:hanging="1440"/>
        <w:rPr>
          <w:rFonts w:eastAsia="Times New Roman" w:cs="Times New Roman"/>
          <w:lang w:bidi="en-US"/>
        </w:rPr>
      </w:pPr>
      <w:r w:rsidRPr="00F6631C">
        <w:rPr>
          <w:rFonts w:eastAsia="Times New Roman" w:cs="Times New Roman"/>
          <w:lang w:bidi="en-US"/>
        </w:rPr>
        <w:t>BLD</w:t>
      </w:r>
      <w:r w:rsidRPr="00F6631C">
        <w:rPr>
          <w:rFonts w:eastAsia="Times New Roman" w:cs="Times New Roman"/>
          <w:lang w:bidi="en-US"/>
        </w:rPr>
        <w:tab/>
        <w:t>A Fabric Filter with a bag leak detection system is used</w:t>
      </w:r>
    </w:p>
    <w:p w14:paraId="2ECB4EAF" w14:textId="7DB0654F"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WS</w:t>
      </w:r>
      <w:r w:rsidRPr="00F6631C">
        <w:rPr>
          <w:rFonts w:eastAsia="Times New Roman" w:cs="Times New Roman"/>
          <w:lang w:bidi="en-US"/>
        </w:rPr>
        <w:tab/>
        <w:t>A Wet Scrubber is used</w:t>
      </w:r>
    </w:p>
    <w:p w14:paraId="7FCC741B" w14:textId="732B7B76" w:rsidR="008F2630" w:rsidRDefault="00F6631C" w:rsidP="008F2630">
      <w:pPr>
        <w:tabs>
          <w:tab w:val="left" w:pos="720"/>
          <w:tab w:val="left" w:pos="2160"/>
        </w:tabs>
        <w:spacing w:after="0"/>
        <w:ind w:left="2160" w:hanging="1440"/>
      </w:pPr>
      <w:r w:rsidRPr="00F6631C">
        <w:rPr>
          <w:rFonts w:eastAsia="Times New Roman" w:cs="Times New Roman"/>
          <w:lang w:bidi="en-US"/>
        </w:rPr>
        <w:t>ESP-WS</w:t>
      </w:r>
      <w:r w:rsidRPr="00F6631C">
        <w:rPr>
          <w:rFonts w:eastAsia="Times New Roman" w:cs="Times New Roman"/>
          <w:lang w:bidi="en-US"/>
        </w:rPr>
        <w:tab/>
        <w:t>An Electrostatic Precipitator with a Wet Scrubber is used</w:t>
      </w:r>
    </w:p>
    <w:p w14:paraId="74856A0F" w14:textId="662C5021" w:rsidR="008F2630" w:rsidRPr="00A55F59" w:rsidRDefault="008F2630" w:rsidP="008F2630">
      <w:pPr>
        <w:tabs>
          <w:tab w:val="left" w:pos="720"/>
          <w:tab w:val="left" w:pos="2160"/>
        </w:tabs>
        <w:spacing w:after="0"/>
        <w:ind w:left="2160" w:hanging="1440"/>
      </w:pPr>
      <w:r>
        <w:t>OTHER</w:t>
      </w:r>
      <w:r>
        <w:tab/>
      </w:r>
      <w:proofErr w:type="spellStart"/>
      <w:r>
        <w:t>Other</w:t>
      </w:r>
      <w:proofErr w:type="spellEnd"/>
      <w:r>
        <w:t xml:space="preserve"> control methods are being used</w:t>
      </w:r>
    </w:p>
    <w:p w14:paraId="4896600C" w14:textId="3A65A337" w:rsidR="00F6631C" w:rsidRPr="00F6631C" w:rsidRDefault="008F2630" w:rsidP="002B5D62">
      <w:pPr>
        <w:ind w:left="2160" w:hanging="1440"/>
        <w:rPr>
          <w:rFonts w:eastAsia="Times New Roman" w:cs="Times New Roman"/>
          <w:lang w:bidi="en-US"/>
        </w:rPr>
      </w:pPr>
      <w:proofErr w:type="gramStart"/>
      <w:r>
        <w:rPr>
          <w:rFonts w:eastAsia="Times New Roman" w:cs="Times New Roman"/>
          <w:lang w:bidi="en-US"/>
        </w:rPr>
        <w:t>NONE</w:t>
      </w:r>
      <w:proofErr w:type="gramEnd"/>
      <w:r>
        <w:rPr>
          <w:rFonts w:eastAsia="Times New Roman" w:cs="Times New Roman"/>
          <w:lang w:bidi="en-US"/>
        </w:rPr>
        <w:tab/>
        <w:t>A control device is not used</w:t>
      </w:r>
    </w:p>
    <w:p w14:paraId="159BF2B4" w14:textId="1C0712A1" w:rsidR="00F6631C" w:rsidRDefault="00F6631C" w:rsidP="00647F8A">
      <w:pPr>
        <w:tabs>
          <w:tab w:val="left" w:pos="0"/>
        </w:tabs>
        <w:spacing w:after="0"/>
        <w:rPr>
          <w:b/>
        </w:rPr>
      </w:pPr>
      <w:r>
        <w:rPr>
          <w:b/>
        </w:rPr>
        <w:t>PM-Test:</w:t>
      </w:r>
    </w:p>
    <w:p w14:paraId="46573CB1" w14:textId="77777777" w:rsidR="00F6631C" w:rsidRPr="00F6631C" w:rsidRDefault="00F6631C" w:rsidP="00647F8A">
      <w:pPr>
        <w:tabs>
          <w:tab w:val="left" w:pos="0"/>
        </w:tabs>
        <w:rPr>
          <w:rFonts w:eastAsia="Calibri" w:cs="Times New Roman"/>
          <w:szCs w:val="20"/>
          <w:lang w:bidi="en-US"/>
        </w:rPr>
      </w:pPr>
      <w:bookmarkStart w:id="27" w:name="_Hlk64294384"/>
      <w:r w:rsidRPr="00F6631C">
        <w:rPr>
          <w:rFonts w:eastAsia="Calibri" w:cs="Times New Roman"/>
          <w:szCs w:val="20"/>
          <w:lang w:bidi="en-US"/>
        </w:rPr>
        <w:t>Select one of the following PM performance test options.</w:t>
      </w:r>
      <w:r w:rsidRPr="00F6631C">
        <w:rPr>
          <w:rFonts w:asciiTheme="majorHAnsi" w:eastAsia="Calibri" w:hAnsiTheme="majorHAnsi" w:cstheme="majorHAnsi"/>
          <w:szCs w:val="20"/>
          <w:lang w:bidi="en-US"/>
        </w:rPr>
        <w:t xml:space="preserve"> Enter the code on the form.</w:t>
      </w:r>
    </w:p>
    <w:p w14:paraId="1BC01B0F" w14:textId="77777777" w:rsidR="00F6631C" w:rsidRPr="00F6631C" w:rsidRDefault="00F6631C" w:rsidP="00F6631C">
      <w:pPr>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Description</w:t>
      </w:r>
    </w:p>
    <w:p w14:paraId="33DAD03D" w14:textId="68334620"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PT</w:t>
      </w:r>
      <w:r w:rsidRPr="00F6631C">
        <w:rPr>
          <w:rFonts w:eastAsia="Times New Roman" w:cs="Times New Roman"/>
          <w:lang w:bidi="en-US"/>
        </w:rPr>
        <w:tab/>
        <w:t>Compliance is demonstrated by conducting a performance test for PM</w:t>
      </w:r>
    </w:p>
    <w:p w14:paraId="6C737A11" w14:textId="12162EF7" w:rsidR="00F6631C" w:rsidRPr="00F6631C" w:rsidRDefault="00F6631C" w:rsidP="002B5D62">
      <w:pPr>
        <w:ind w:left="2160" w:hanging="1440"/>
        <w:rPr>
          <w:rFonts w:eastAsia="Times New Roman" w:cs="Times New Roman"/>
          <w:lang w:bidi="en-US"/>
        </w:rPr>
      </w:pPr>
      <w:r w:rsidRPr="00F6631C">
        <w:rPr>
          <w:rFonts w:eastAsia="Times New Roman" w:cs="Times New Roman"/>
          <w:lang w:bidi="en-US"/>
        </w:rPr>
        <w:t>NPT</w:t>
      </w:r>
      <w:r w:rsidRPr="00F6631C">
        <w:rPr>
          <w:rFonts w:eastAsia="Times New Roman" w:cs="Times New Roman"/>
          <w:lang w:bidi="en-US"/>
        </w:rPr>
        <w:tab/>
        <w:t>A performance test is not being used</w:t>
      </w:r>
    </w:p>
    <w:bookmarkEnd w:id="27"/>
    <w:p w14:paraId="56626947" w14:textId="47B259DE" w:rsidR="00F6631C" w:rsidRDefault="00F6631C" w:rsidP="00647F8A">
      <w:pPr>
        <w:tabs>
          <w:tab w:val="left" w:pos="0"/>
        </w:tabs>
        <w:spacing w:after="0"/>
        <w:rPr>
          <w:b/>
        </w:rPr>
      </w:pPr>
      <w:r>
        <w:rPr>
          <w:b/>
        </w:rPr>
        <w:t>PM-FM:</w:t>
      </w:r>
    </w:p>
    <w:p w14:paraId="06090CA1" w14:textId="77777777" w:rsidR="00F6631C" w:rsidRPr="00F6631C" w:rsidRDefault="00F6631C" w:rsidP="00647F8A">
      <w:pPr>
        <w:tabs>
          <w:tab w:val="left" w:pos="0"/>
        </w:tabs>
      </w:pPr>
      <w:bookmarkStart w:id="28" w:name="_Hlk64295420"/>
      <w:r w:rsidRPr="00F6631C">
        <w:t xml:space="preserve">Select one of the following flow monitoring options. </w:t>
      </w:r>
      <w:r w:rsidRPr="00F6631C">
        <w:rPr>
          <w:rFonts w:asciiTheme="majorHAnsi" w:hAnsiTheme="majorHAnsi" w:cstheme="majorHAnsi"/>
        </w:rPr>
        <w:t>Enter the code on the form.</w:t>
      </w:r>
    </w:p>
    <w:p w14:paraId="24361E95" w14:textId="77777777" w:rsidR="00F6631C" w:rsidRPr="00F6631C" w:rsidRDefault="00F6631C" w:rsidP="00F6631C">
      <w:pPr>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Description</w:t>
      </w:r>
    </w:p>
    <w:p w14:paraId="4B400668" w14:textId="494C8F57"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FM</w:t>
      </w:r>
      <w:r w:rsidRPr="00F6631C">
        <w:rPr>
          <w:rFonts w:eastAsia="Times New Roman" w:cs="Times New Roman"/>
          <w:lang w:bidi="en-US"/>
        </w:rPr>
        <w:tab/>
        <w:t>Operating limit requires the use of a flow monitoring system</w:t>
      </w:r>
    </w:p>
    <w:p w14:paraId="72429A2C" w14:textId="1923D446" w:rsidR="00F6631C" w:rsidRPr="00F6631C" w:rsidRDefault="00F6631C" w:rsidP="002B5D62">
      <w:pPr>
        <w:ind w:left="2160" w:hanging="1440"/>
        <w:rPr>
          <w:rFonts w:eastAsia="Times New Roman" w:cs="Times New Roman"/>
          <w:lang w:bidi="en-US"/>
        </w:rPr>
      </w:pPr>
      <w:r w:rsidRPr="00F6631C">
        <w:rPr>
          <w:rFonts w:eastAsia="Times New Roman" w:cs="Times New Roman"/>
          <w:lang w:bidi="en-US"/>
        </w:rPr>
        <w:t>NFM</w:t>
      </w:r>
      <w:r w:rsidRPr="00F6631C">
        <w:rPr>
          <w:rFonts w:eastAsia="Times New Roman" w:cs="Times New Roman"/>
          <w:lang w:bidi="en-US"/>
        </w:rPr>
        <w:tab/>
        <w:t>A flow monitoring system is not required</w:t>
      </w:r>
    </w:p>
    <w:bookmarkEnd w:id="28"/>
    <w:p w14:paraId="202E7477" w14:textId="3A36A5A4" w:rsidR="00F6631C" w:rsidRDefault="00F6631C" w:rsidP="00647F8A">
      <w:pPr>
        <w:tabs>
          <w:tab w:val="left" w:pos="0"/>
        </w:tabs>
        <w:spacing w:after="0"/>
        <w:rPr>
          <w:b/>
        </w:rPr>
      </w:pPr>
      <w:r>
        <w:rPr>
          <w:b/>
        </w:rPr>
        <w:t>PM-PMON:</w:t>
      </w:r>
    </w:p>
    <w:p w14:paraId="2CFB07C9" w14:textId="77777777" w:rsidR="00F6631C" w:rsidRPr="00F6631C" w:rsidRDefault="00F6631C" w:rsidP="00647F8A">
      <w:pPr>
        <w:tabs>
          <w:tab w:val="left" w:pos="0"/>
        </w:tabs>
      </w:pPr>
      <w:bookmarkStart w:id="29" w:name="_Hlk64295987"/>
      <w:r w:rsidRPr="00F6631C">
        <w:t>Select one of the following pressure monitoring system options</w:t>
      </w:r>
      <w:bookmarkEnd w:id="29"/>
      <w:r w:rsidRPr="00F6631C">
        <w:t xml:space="preserve">. </w:t>
      </w:r>
      <w:r w:rsidRPr="00F6631C">
        <w:rPr>
          <w:rFonts w:asciiTheme="majorHAnsi" w:hAnsiTheme="majorHAnsi" w:cstheme="majorHAnsi"/>
        </w:rPr>
        <w:t>Enter the code on the form.</w:t>
      </w:r>
    </w:p>
    <w:p w14:paraId="35668402" w14:textId="77777777" w:rsidR="00F6631C" w:rsidRPr="00F6631C" w:rsidRDefault="00F6631C" w:rsidP="00F6631C">
      <w:pPr>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Description</w:t>
      </w:r>
    </w:p>
    <w:p w14:paraId="38E32056" w14:textId="0BBA65F3"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PMON</w:t>
      </w:r>
      <w:r w:rsidRPr="00F6631C">
        <w:rPr>
          <w:rFonts w:eastAsia="Times New Roman" w:cs="Times New Roman"/>
          <w:lang w:bidi="en-US"/>
        </w:rPr>
        <w:tab/>
        <w:t>Operating limit requires the use of a pressure monitoring system</w:t>
      </w:r>
    </w:p>
    <w:p w14:paraId="7C5C5463" w14:textId="08E5DA12"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NO</w:t>
      </w:r>
      <w:r w:rsidRPr="00F6631C">
        <w:rPr>
          <w:rFonts w:eastAsia="Times New Roman" w:cs="Times New Roman"/>
          <w:lang w:bidi="en-US"/>
        </w:rPr>
        <w:tab/>
        <w:t>A pressure monitoring system is not required</w:t>
      </w:r>
    </w:p>
    <w:p w14:paraId="0ADD8B42" w14:textId="77777777" w:rsidR="00F6631C" w:rsidRPr="00F6631C" w:rsidRDefault="00F6631C" w:rsidP="00F6631C">
      <w:pPr>
        <w:pBdr>
          <w:bottom w:val="double" w:sz="4" w:space="1" w:color="auto"/>
        </w:pBdr>
      </w:pPr>
    </w:p>
    <w:bookmarkStart w:id="30" w:name="Table_6f"/>
    <w:p w14:paraId="70342C54" w14:textId="33465C68" w:rsidR="00F6631C" w:rsidRPr="00F6631C" w:rsidRDefault="00C4350F" w:rsidP="00BE0782">
      <w:pPr>
        <w:ind w:left="1440" w:hanging="1440"/>
        <w:rPr>
          <w:b/>
          <w:bCs/>
        </w:rPr>
      </w:pPr>
      <w:r w:rsidRPr="00273CFE">
        <w:rPr>
          <w:rStyle w:val="Hyperlink"/>
          <w:bCs/>
        </w:rPr>
        <w:fldChar w:fldCharType="begin"/>
      </w:r>
      <w:r w:rsidR="00765060">
        <w:rPr>
          <w:rStyle w:val="Hyperlink"/>
          <w:bCs/>
        </w:rPr>
        <w:instrText>HYPERLINK  \l "TBL6f" \o "Table 6f"</w:instrText>
      </w:r>
      <w:r w:rsidRPr="00273CFE">
        <w:rPr>
          <w:rStyle w:val="Hyperlink"/>
          <w:bCs/>
        </w:rPr>
      </w:r>
      <w:r w:rsidRPr="00273CFE">
        <w:rPr>
          <w:rStyle w:val="Hyperlink"/>
          <w:bCs/>
        </w:rPr>
        <w:fldChar w:fldCharType="separate"/>
      </w:r>
      <w:r w:rsidR="00F6631C" w:rsidRPr="00273CFE">
        <w:rPr>
          <w:rStyle w:val="Hyperlink"/>
          <w:b/>
          <w:bCs/>
        </w:rPr>
        <w:t>Table 6f</w:t>
      </w:r>
      <w:bookmarkEnd w:id="30"/>
      <w:r w:rsidRPr="00273CFE">
        <w:rPr>
          <w:rStyle w:val="Hyperlink"/>
          <w:bCs/>
        </w:rPr>
        <w:fldChar w:fldCharType="end"/>
      </w:r>
      <w:r w:rsidR="00F6631C" w:rsidRPr="00F6631C">
        <w:rPr>
          <w:b/>
        </w:rPr>
        <w:t>:</w:t>
      </w:r>
      <w:r w:rsidR="00F6631C" w:rsidRPr="00F6631C">
        <w:rPr>
          <w:b/>
        </w:rPr>
        <w:tab/>
        <w:t xml:space="preserve">Title 40 Code of Federal Regulations Part 63 (40 CFR Part 63), Subpart DDDDD:  </w:t>
      </w:r>
      <w:r w:rsidR="00F6631C" w:rsidRPr="00F6631C">
        <w:rPr>
          <w:b/>
          <w:bCs/>
        </w:rPr>
        <w:t xml:space="preserve">Industrial, Commercial, and </w:t>
      </w:r>
      <w:r w:rsidR="007C0D8B">
        <w:rPr>
          <w:b/>
          <w:bCs/>
        </w:rPr>
        <w:t>Institutional</w:t>
      </w:r>
      <w:r w:rsidR="007C0D8B" w:rsidRPr="00F6631C">
        <w:rPr>
          <w:b/>
          <w:bCs/>
        </w:rPr>
        <w:t xml:space="preserve"> </w:t>
      </w:r>
      <w:r w:rsidR="00F6631C" w:rsidRPr="00F6631C">
        <w:rPr>
          <w:b/>
          <w:bCs/>
        </w:rPr>
        <w:t>Process Heaters</w:t>
      </w:r>
    </w:p>
    <w:p w14:paraId="1C958C0D" w14:textId="77777777" w:rsidR="00F6631C" w:rsidRPr="00F6631C" w:rsidRDefault="00F6631C" w:rsidP="00787A02">
      <w:pPr>
        <w:numPr>
          <w:ilvl w:val="0"/>
          <w:numId w:val="24"/>
        </w:numPr>
        <w:tabs>
          <w:tab w:val="left" w:pos="547"/>
        </w:tabs>
        <w:ind w:left="547" w:hanging="547"/>
        <w:rPr>
          <w:rFonts w:eastAsia="Calibri" w:cs="Times New Roman"/>
          <w:b/>
          <w:bCs/>
          <w:lang w:bidi="en-US"/>
        </w:rPr>
      </w:pPr>
      <w:r w:rsidRPr="00F6631C">
        <w:rPr>
          <w:rFonts w:eastAsia="Calibri" w:cs="Times New Roman"/>
          <w:b/>
          <w:lang w:bidi="en-US"/>
        </w:rPr>
        <w:t>Complete this table only if “TSM-CMS” is “NONE” or “PM-CMS” is PMCMS” or “NONE.”</w:t>
      </w:r>
    </w:p>
    <w:p w14:paraId="302A9A2D" w14:textId="77777777" w:rsidR="00F6631C" w:rsidRPr="00F6631C" w:rsidRDefault="00F6631C" w:rsidP="00647F8A">
      <w:pPr>
        <w:tabs>
          <w:tab w:val="left" w:pos="0"/>
        </w:tabs>
        <w:spacing w:after="0"/>
      </w:pPr>
      <w:r w:rsidRPr="00F6631C">
        <w:rPr>
          <w:b/>
        </w:rPr>
        <w:t>Unit ID No</w:t>
      </w:r>
      <w:r w:rsidRPr="00BE0782">
        <w:rPr>
          <w:b/>
          <w:bCs/>
        </w:rPr>
        <w:t>.:</w:t>
      </w:r>
    </w:p>
    <w:p w14:paraId="6D6986D0" w14:textId="77777777" w:rsidR="00F6631C" w:rsidRPr="00F6631C" w:rsidRDefault="00F6631C" w:rsidP="00647F8A">
      <w:pPr>
        <w:tabs>
          <w:tab w:val="left" w:pos="0"/>
        </w:tabs>
      </w:pPr>
      <w:r w:rsidRPr="00F6631C">
        <w:t>Enter the identification number (ID No.) for the unit (maximum 10 characters) as listed on Form OP SUM (Individual Unit Summary).</w:t>
      </w:r>
    </w:p>
    <w:p w14:paraId="0465CAEF" w14:textId="77777777" w:rsidR="00F6631C" w:rsidRPr="00F6631C" w:rsidRDefault="00F6631C" w:rsidP="00647F8A">
      <w:pPr>
        <w:tabs>
          <w:tab w:val="left" w:pos="0"/>
        </w:tabs>
        <w:spacing w:after="0"/>
      </w:pPr>
      <w:r w:rsidRPr="00F6631C">
        <w:rPr>
          <w:b/>
        </w:rPr>
        <w:t>SOP/GOP Index No.</w:t>
      </w:r>
      <w:r w:rsidRPr="00BE0782">
        <w:rPr>
          <w:b/>
          <w:bCs/>
        </w:rPr>
        <w:t>:</w:t>
      </w:r>
    </w:p>
    <w:p w14:paraId="5026DF8E" w14:textId="63130D1C" w:rsidR="003928B5" w:rsidRDefault="00F6631C" w:rsidP="00647F8A">
      <w:pPr>
        <w:tabs>
          <w:tab w:val="left" w:pos="0"/>
        </w:tabs>
        <w:rPr>
          <w:rStyle w:val="Hyperlink"/>
        </w:rPr>
      </w:pPr>
      <w:r w:rsidRPr="00F6631C">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Pr="00F6631C">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5229A3" w:rsidRPr="00436B50">
        <w:rPr>
          <w:rFonts w:cs="Times New Roman"/>
        </w:rPr>
        <w:t xml:space="preserve">For additional information relating to SOP and GOP index numbers, please see the Completing FOP Applications – Additional Guidance on the TCEQ website at </w:t>
      </w:r>
      <w:hyperlink r:id="rId25" w:tooltip="TCEQ - Completing FOP Applications - Additional Guidance" w:history="1">
        <w:r w:rsidR="005229A3" w:rsidRPr="00273CFE">
          <w:rPr>
            <w:rStyle w:val="Hyperlink"/>
          </w:rPr>
          <w:t>www.tceq.texas.gov/permitting/air/guidance/titlev/tv_fop_guidance.html</w:t>
        </w:r>
      </w:hyperlink>
      <w:r w:rsidRPr="00793C3D">
        <w:rPr>
          <w:rStyle w:val="Hyperlink"/>
          <w:color w:val="auto"/>
          <w:u w:val="none"/>
        </w:rPr>
        <w:t>.</w:t>
      </w:r>
    </w:p>
    <w:p w14:paraId="7627482A" w14:textId="5594C367" w:rsidR="00F6631C" w:rsidRPr="00793C3D" w:rsidRDefault="003928B5" w:rsidP="00F6631C">
      <w:pPr>
        <w:rPr>
          <w:rFonts w:asciiTheme="majorHAnsi" w:hAnsiTheme="majorHAnsi" w:cstheme="majorHAnsi"/>
        </w:rPr>
      </w:pPr>
      <w:r w:rsidRPr="00793C3D">
        <w:rPr>
          <w:rStyle w:val="Hyperlink"/>
          <w:color w:val="auto"/>
          <w:u w:val="none"/>
        </w:rPr>
        <w:br w:type="page"/>
      </w:r>
    </w:p>
    <w:p w14:paraId="5D7D5A38" w14:textId="33762AD6" w:rsidR="00F6631C" w:rsidRDefault="00F6631C" w:rsidP="00647F8A">
      <w:pPr>
        <w:tabs>
          <w:tab w:val="left" w:pos="0"/>
        </w:tabs>
        <w:spacing w:after="0"/>
        <w:rPr>
          <w:b/>
        </w:rPr>
      </w:pPr>
      <w:r>
        <w:rPr>
          <w:b/>
        </w:rPr>
        <w:lastRenderedPageBreak/>
        <w:t>Opacity-CD:</w:t>
      </w:r>
    </w:p>
    <w:p w14:paraId="1C312049" w14:textId="77777777" w:rsidR="00F6631C" w:rsidRPr="00F6631C" w:rsidRDefault="00F6631C" w:rsidP="00647F8A">
      <w:pPr>
        <w:tabs>
          <w:tab w:val="left" w:pos="0"/>
        </w:tabs>
        <w:rPr>
          <w:rFonts w:eastAsia="Calibri" w:cs="Times New Roman"/>
          <w:szCs w:val="20"/>
          <w:lang w:bidi="en-US"/>
        </w:rPr>
      </w:pPr>
      <w:r w:rsidRPr="00F6631C">
        <w:rPr>
          <w:rFonts w:eastAsia="Calibri" w:cs="Times New Roman"/>
          <w:szCs w:val="20"/>
          <w:lang w:bidi="en-US"/>
        </w:rPr>
        <w:t xml:space="preserve">Select one of the following control device options. </w:t>
      </w:r>
      <w:r w:rsidRPr="00F6631C">
        <w:rPr>
          <w:rFonts w:asciiTheme="majorHAnsi" w:eastAsia="Calibri" w:hAnsiTheme="majorHAnsi" w:cstheme="majorHAnsi"/>
          <w:szCs w:val="20"/>
          <w:lang w:bidi="en-US"/>
        </w:rPr>
        <w:t>Enter the code on the form.</w:t>
      </w:r>
    </w:p>
    <w:p w14:paraId="23B04C9D" w14:textId="77777777" w:rsidR="00F6631C" w:rsidRPr="00F6631C" w:rsidRDefault="00F6631C" w:rsidP="00F6631C">
      <w:pPr>
        <w:spacing w:after="0"/>
        <w:ind w:left="2160" w:hanging="1440"/>
        <w:rPr>
          <w:rFonts w:asciiTheme="majorHAnsi" w:eastAsia="Times New Roman" w:hAnsiTheme="majorHAnsi" w:cstheme="majorHAnsi"/>
          <w:b/>
          <w:bCs/>
          <w:lang w:bidi="en-US"/>
        </w:rPr>
      </w:pPr>
      <w:r w:rsidRPr="00F6631C">
        <w:rPr>
          <w:rFonts w:asciiTheme="majorHAnsi" w:eastAsia="Times New Roman" w:hAnsiTheme="majorHAnsi" w:cstheme="majorHAnsi"/>
          <w:b/>
          <w:bCs/>
          <w:lang w:bidi="en-US"/>
        </w:rPr>
        <w:t>Code</w:t>
      </w:r>
      <w:r w:rsidRPr="00F6631C">
        <w:rPr>
          <w:rFonts w:asciiTheme="majorHAnsi" w:eastAsia="Times New Roman" w:hAnsiTheme="majorHAnsi" w:cstheme="majorHAnsi"/>
          <w:b/>
          <w:bCs/>
          <w:lang w:bidi="en-US"/>
        </w:rPr>
        <w:tab/>
        <w:t>Description</w:t>
      </w:r>
    </w:p>
    <w:p w14:paraId="3D77F070" w14:textId="13A0C9FC"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BLD</w:t>
      </w:r>
      <w:r w:rsidRPr="00F6631C">
        <w:rPr>
          <w:rFonts w:eastAsia="Times New Roman" w:cs="Times New Roman"/>
          <w:lang w:bidi="en-US"/>
        </w:rPr>
        <w:tab/>
        <w:t>A fabric filter with a bag leak detection system is used</w:t>
      </w:r>
    </w:p>
    <w:p w14:paraId="3D4FC484" w14:textId="1A7190B5"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FF</w:t>
      </w:r>
      <w:r w:rsidRPr="00F6631C">
        <w:rPr>
          <w:rFonts w:eastAsia="Times New Roman" w:cs="Times New Roman"/>
          <w:lang w:bidi="en-US"/>
        </w:rPr>
        <w:tab/>
        <w:t>A fabric filter without a bag leak detection system is used</w:t>
      </w:r>
    </w:p>
    <w:p w14:paraId="3832CEE6" w14:textId="11C92029"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ESP-WS</w:t>
      </w:r>
      <w:r w:rsidRPr="00F6631C">
        <w:rPr>
          <w:rFonts w:eastAsia="Times New Roman" w:cs="Times New Roman"/>
          <w:lang w:bidi="en-US"/>
        </w:rPr>
        <w:tab/>
        <w:t>An electrostatic precipitator with a wet scrubber is used</w:t>
      </w:r>
    </w:p>
    <w:p w14:paraId="10382A52" w14:textId="6BE38568" w:rsidR="00F6631C" w:rsidRPr="00F6631C" w:rsidRDefault="00F6631C" w:rsidP="00F6631C">
      <w:pPr>
        <w:spacing w:after="0"/>
        <w:ind w:left="2160" w:hanging="1440"/>
        <w:rPr>
          <w:rFonts w:eastAsia="Times New Roman" w:cs="Times New Roman"/>
          <w:lang w:bidi="en-US"/>
        </w:rPr>
      </w:pPr>
      <w:r w:rsidRPr="00F6631C">
        <w:rPr>
          <w:rFonts w:eastAsia="Times New Roman" w:cs="Times New Roman"/>
          <w:lang w:bidi="en-US"/>
        </w:rPr>
        <w:t>ESP</w:t>
      </w:r>
      <w:r w:rsidRPr="00F6631C">
        <w:rPr>
          <w:rFonts w:eastAsia="Times New Roman" w:cs="Times New Roman"/>
          <w:lang w:bidi="en-US"/>
        </w:rPr>
        <w:tab/>
        <w:t xml:space="preserve">An electrostatic precipitator without a wet scrubber is used </w:t>
      </w:r>
    </w:p>
    <w:p w14:paraId="4D44B374" w14:textId="1281CFAF" w:rsidR="00F85E3B" w:rsidRPr="00F6631C" w:rsidRDefault="00F6631C" w:rsidP="0087666C">
      <w:pPr>
        <w:spacing w:after="0"/>
        <w:ind w:left="2160" w:hanging="1440"/>
        <w:rPr>
          <w:rFonts w:eastAsia="Times New Roman" w:cs="Times New Roman"/>
          <w:lang w:bidi="en-US"/>
        </w:rPr>
      </w:pPr>
      <w:r w:rsidRPr="00F6631C">
        <w:rPr>
          <w:rFonts w:eastAsia="Times New Roman" w:cs="Times New Roman"/>
          <w:lang w:bidi="en-US"/>
        </w:rPr>
        <w:t>DRY</w:t>
      </w:r>
      <w:r w:rsidRPr="00F6631C">
        <w:rPr>
          <w:rFonts w:eastAsia="Times New Roman" w:cs="Times New Roman"/>
          <w:lang w:bidi="en-US"/>
        </w:rPr>
        <w:tab/>
        <w:t xml:space="preserve">A dry control system is used </w:t>
      </w:r>
    </w:p>
    <w:p w14:paraId="16C1960D" w14:textId="19092B71" w:rsidR="00F85E3B" w:rsidRPr="00273CFE" w:rsidRDefault="00F6631C" w:rsidP="0087666C">
      <w:pPr>
        <w:ind w:left="2160" w:hanging="1440"/>
        <w:rPr>
          <w:rFonts w:asciiTheme="majorHAnsi" w:hAnsiTheme="majorHAnsi" w:cstheme="majorHAnsi"/>
        </w:rPr>
      </w:pPr>
      <w:r w:rsidRPr="00F6631C">
        <w:rPr>
          <w:rFonts w:asciiTheme="majorHAnsi" w:hAnsiTheme="majorHAnsi" w:cstheme="majorHAnsi"/>
        </w:rPr>
        <w:t>OTHER</w:t>
      </w:r>
      <w:r w:rsidRPr="00F6631C">
        <w:rPr>
          <w:rFonts w:asciiTheme="majorHAnsi" w:hAnsiTheme="majorHAnsi" w:cstheme="majorHAnsi"/>
        </w:rPr>
        <w:tab/>
      </w:r>
      <w:proofErr w:type="spellStart"/>
      <w:r w:rsidRPr="00F6631C">
        <w:rPr>
          <w:rFonts w:asciiTheme="majorHAnsi" w:hAnsiTheme="majorHAnsi" w:cstheme="majorHAnsi"/>
        </w:rPr>
        <w:t>Other</w:t>
      </w:r>
      <w:proofErr w:type="spellEnd"/>
      <w:r w:rsidRPr="00F6631C">
        <w:rPr>
          <w:rFonts w:asciiTheme="majorHAnsi" w:hAnsiTheme="majorHAnsi" w:cstheme="majorHAnsi"/>
        </w:rPr>
        <w:t xml:space="preserve"> control methods are being used</w:t>
      </w:r>
    </w:p>
    <w:p w14:paraId="03D8D174" w14:textId="0FD450BD" w:rsidR="00F85E3B" w:rsidRDefault="00F85E3B" w:rsidP="0087666C">
      <w:pPr>
        <w:ind w:left="2160" w:hanging="1440"/>
        <w:rPr>
          <w:rFonts w:asciiTheme="majorHAnsi" w:hAnsiTheme="majorHAnsi" w:cstheme="majorHAnsi"/>
        </w:rPr>
      </w:pPr>
      <w:proofErr w:type="gramStart"/>
      <w:r>
        <w:rPr>
          <w:rFonts w:eastAsia="Times New Roman" w:cs="Times New Roman"/>
          <w:lang w:bidi="en-US"/>
        </w:rPr>
        <w:t>NONE</w:t>
      </w:r>
      <w:proofErr w:type="gramEnd"/>
      <w:r>
        <w:rPr>
          <w:rFonts w:eastAsia="Times New Roman" w:cs="Times New Roman"/>
          <w:lang w:bidi="en-US"/>
        </w:rPr>
        <w:tab/>
        <w:t>A control device is not used</w:t>
      </w:r>
    </w:p>
    <w:p w14:paraId="60DAE180" w14:textId="5F2A2F76" w:rsidR="00F6631C" w:rsidRPr="00F6631C" w:rsidRDefault="00F6631C" w:rsidP="00BE0782">
      <w:pPr>
        <w:numPr>
          <w:ilvl w:val="0"/>
          <w:numId w:val="25"/>
        </w:numPr>
        <w:tabs>
          <w:tab w:val="left" w:pos="547"/>
        </w:tabs>
        <w:spacing w:before="120"/>
        <w:ind w:left="547" w:hanging="547"/>
        <w:rPr>
          <w:b/>
        </w:rPr>
      </w:pPr>
      <w:r w:rsidRPr="00F6631C">
        <w:rPr>
          <w:b/>
        </w:rPr>
        <w:t>Continue on Table 6f only if “Opacity-CD” is “FF”, “ESP”, or “DRY</w:t>
      </w:r>
      <w:bookmarkStart w:id="31" w:name="_Hlk66861308"/>
      <w:r w:rsidRPr="00F6631C">
        <w:rPr>
          <w:b/>
        </w:rPr>
        <w:t>.” If “Opacity-CD” is “BLD</w:t>
      </w:r>
      <w:r w:rsidR="003104B4" w:rsidRPr="00F6631C">
        <w:rPr>
          <w:b/>
        </w:rPr>
        <w:t>,”</w:t>
      </w:r>
      <w:r w:rsidRPr="00F6631C">
        <w:rPr>
          <w:b/>
        </w:rPr>
        <w:t xml:space="preserve"> “ESP</w:t>
      </w:r>
      <w:r w:rsidR="003104B4">
        <w:rPr>
          <w:b/>
        </w:rPr>
        <w:noBreakHyphen/>
      </w:r>
      <w:r w:rsidRPr="00F6631C">
        <w:rPr>
          <w:b/>
        </w:rPr>
        <w:t>WS</w:t>
      </w:r>
      <w:r w:rsidR="003104B4" w:rsidRPr="00F6631C">
        <w:rPr>
          <w:b/>
        </w:rPr>
        <w:t>,”</w:t>
      </w:r>
      <w:r w:rsidRPr="00F6631C">
        <w:rPr>
          <w:b/>
        </w:rPr>
        <w:t xml:space="preserve"> “OTHER</w:t>
      </w:r>
      <w:r w:rsidR="003104B4" w:rsidRPr="00F6631C">
        <w:rPr>
          <w:b/>
        </w:rPr>
        <w:t>,”</w:t>
      </w:r>
      <w:r w:rsidR="008F2630">
        <w:rPr>
          <w:b/>
        </w:rPr>
        <w:t xml:space="preserve"> or “NONE,”</w:t>
      </w:r>
      <w:r w:rsidRPr="00F6631C">
        <w:rPr>
          <w:b/>
        </w:rPr>
        <w:t xml:space="preserve"> skip to Table 6g</w:t>
      </w:r>
      <w:bookmarkEnd w:id="31"/>
      <w:r w:rsidRPr="00F6631C">
        <w:rPr>
          <w:b/>
        </w:rPr>
        <w:t>.</w:t>
      </w:r>
    </w:p>
    <w:p w14:paraId="2745B18C" w14:textId="6E22F8C2" w:rsidR="00DD4C00" w:rsidRDefault="00DD4C00" w:rsidP="00647F8A">
      <w:pPr>
        <w:tabs>
          <w:tab w:val="left" w:pos="0"/>
        </w:tabs>
        <w:spacing w:after="0"/>
        <w:rPr>
          <w:b/>
        </w:rPr>
      </w:pPr>
      <w:r>
        <w:rPr>
          <w:b/>
        </w:rPr>
        <w:t>COMS:</w:t>
      </w:r>
    </w:p>
    <w:p w14:paraId="5195C9AF" w14:textId="77777777" w:rsidR="00DD4C00" w:rsidRPr="00DD4C00" w:rsidRDefault="00DD4C00" w:rsidP="00647F8A">
      <w:pPr>
        <w:tabs>
          <w:tab w:val="left" w:pos="0"/>
        </w:tabs>
        <w:rPr>
          <w:rFonts w:eastAsia="Calibri" w:cs="Times New Roman"/>
          <w:szCs w:val="20"/>
          <w:lang w:bidi="en-US"/>
        </w:rPr>
      </w:pPr>
      <w:r w:rsidRPr="00DD4C00">
        <w:rPr>
          <w:rFonts w:eastAsia="Calibri" w:cs="Times New Roman"/>
          <w:szCs w:val="20"/>
          <w:lang w:bidi="en-US"/>
        </w:rPr>
        <w:t xml:space="preserve">Select one of the following continuous opacity monitoring options. </w:t>
      </w:r>
      <w:r w:rsidRPr="00DD4C00">
        <w:rPr>
          <w:rFonts w:asciiTheme="majorHAnsi" w:eastAsia="Calibri" w:hAnsiTheme="majorHAnsi" w:cstheme="majorHAnsi"/>
          <w:szCs w:val="20"/>
          <w:lang w:bidi="en-US"/>
        </w:rPr>
        <w:t>Enter the code on the form.</w:t>
      </w:r>
    </w:p>
    <w:p w14:paraId="7A6720CD" w14:textId="77777777" w:rsidR="00DD4C00" w:rsidRPr="00DD4C00" w:rsidRDefault="00DD4C00" w:rsidP="00DD4C00">
      <w:pPr>
        <w:spacing w:after="0"/>
        <w:ind w:left="2160" w:hanging="1440"/>
        <w:rPr>
          <w:rFonts w:asciiTheme="majorHAnsi" w:eastAsia="Times New Roman" w:hAnsiTheme="majorHAnsi" w:cstheme="majorHAnsi"/>
          <w:b/>
          <w:bCs/>
          <w:lang w:bidi="en-US"/>
        </w:rPr>
      </w:pPr>
      <w:r w:rsidRPr="00DD4C00">
        <w:rPr>
          <w:rFonts w:asciiTheme="majorHAnsi" w:eastAsia="Times New Roman" w:hAnsiTheme="majorHAnsi" w:cstheme="majorHAnsi"/>
          <w:b/>
          <w:bCs/>
          <w:lang w:bidi="en-US"/>
        </w:rPr>
        <w:t>Code</w:t>
      </w:r>
      <w:r w:rsidRPr="00DD4C00">
        <w:rPr>
          <w:rFonts w:asciiTheme="majorHAnsi" w:eastAsia="Times New Roman" w:hAnsiTheme="majorHAnsi" w:cstheme="majorHAnsi"/>
          <w:b/>
          <w:bCs/>
          <w:lang w:bidi="en-US"/>
        </w:rPr>
        <w:tab/>
        <w:t>Description</w:t>
      </w:r>
    </w:p>
    <w:p w14:paraId="61625DB2" w14:textId="50E5E6E5"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COMS</w:t>
      </w:r>
      <w:r w:rsidRPr="00DD4C00">
        <w:rPr>
          <w:rFonts w:eastAsia="Times New Roman" w:cs="Times New Roman"/>
          <w:lang w:bidi="en-US"/>
        </w:rPr>
        <w:tab/>
        <w:t>A continuous opacity monitoring system is used</w:t>
      </w:r>
    </w:p>
    <w:p w14:paraId="15B14E02" w14:textId="1ED7B0F1" w:rsidR="00DD4C00" w:rsidRPr="00DD4C00" w:rsidRDefault="00DD4C00" w:rsidP="002B5D62">
      <w:pPr>
        <w:ind w:left="2160" w:hanging="1440"/>
        <w:rPr>
          <w:rFonts w:eastAsia="Times New Roman" w:cs="Times New Roman"/>
          <w:lang w:bidi="en-US"/>
        </w:rPr>
      </w:pPr>
      <w:r w:rsidRPr="00DD4C00">
        <w:rPr>
          <w:rFonts w:eastAsia="Times New Roman" w:cs="Times New Roman"/>
          <w:lang w:bidi="en-US"/>
        </w:rPr>
        <w:t>NOCOMS</w:t>
      </w:r>
      <w:r w:rsidRPr="00DD4C00">
        <w:rPr>
          <w:rFonts w:eastAsia="Times New Roman" w:cs="Times New Roman"/>
          <w:lang w:bidi="en-US"/>
        </w:rPr>
        <w:tab/>
        <w:t>A continuous opacity monitoring system is not used</w:t>
      </w:r>
    </w:p>
    <w:p w14:paraId="65C67C60" w14:textId="54948010" w:rsidR="00DD4C00" w:rsidRPr="00DD4C00" w:rsidRDefault="00DD4C00" w:rsidP="00787A02">
      <w:pPr>
        <w:numPr>
          <w:ilvl w:val="0"/>
          <w:numId w:val="25"/>
        </w:numPr>
        <w:tabs>
          <w:tab w:val="left" w:pos="547"/>
        </w:tabs>
        <w:spacing w:before="120"/>
        <w:ind w:left="547" w:hanging="547"/>
        <w:rPr>
          <w:b/>
        </w:rPr>
      </w:pPr>
      <w:r w:rsidRPr="00DD4C00">
        <w:rPr>
          <w:b/>
        </w:rPr>
        <w:t xml:space="preserve">Continue on Table 6f only if “COMS” is “NOCOMS.” </w:t>
      </w:r>
      <w:bookmarkStart w:id="32" w:name="_Hlk66861395"/>
      <w:r w:rsidRPr="00DD4C00">
        <w:rPr>
          <w:b/>
        </w:rPr>
        <w:t>If “COMS” is “COMS</w:t>
      </w:r>
      <w:r w:rsidR="00BE0782" w:rsidRPr="00DD4C00">
        <w:rPr>
          <w:b/>
        </w:rPr>
        <w:t>,”</w:t>
      </w:r>
      <w:r w:rsidRPr="00DD4C00">
        <w:rPr>
          <w:b/>
        </w:rPr>
        <w:t xml:space="preserve"> skip to Table 6g.</w:t>
      </w:r>
      <w:bookmarkEnd w:id="32"/>
    </w:p>
    <w:p w14:paraId="4EAE122D" w14:textId="0115BD41" w:rsidR="00DD4C00" w:rsidRDefault="00DD4C00" w:rsidP="00647F8A">
      <w:pPr>
        <w:tabs>
          <w:tab w:val="left" w:pos="0"/>
        </w:tabs>
        <w:spacing w:after="0"/>
        <w:rPr>
          <w:b/>
        </w:rPr>
      </w:pPr>
      <w:r>
        <w:rPr>
          <w:b/>
        </w:rPr>
        <w:t>OPT-Test:</w:t>
      </w:r>
    </w:p>
    <w:p w14:paraId="55232C88" w14:textId="77777777" w:rsidR="00DD4C00" w:rsidRPr="00DD4C00" w:rsidRDefault="00DD4C00" w:rsidP="00647F8A">
      <w:pPr>
        <w:tabs>
          <w:tab w:val="left" w:pos="0"/>
        </w:tabs>
        <w:rPr>
          <w:rFonts w:eastAsia="Calibri" w:cs="Times New Roman"/>
          <w:szCs w:val="20"/>
          <w:lang w:bidi="en-US"/>
        </w:rPr>
      </w:pPr>
      <w:r w:rsidRPr="00DD4C00">
        <w:rPr>
          <w:rFonts w:eastAsia="Calibri" w:cs="Times New Roman"/>
          <w:szCs w:val="20"/>
          <w:lang w:bidi="en-US"/>
        </w:rPr>
        <w:t xml:space="preserve">Select one of the following opacity performance test options. </w:t>
      </w:r>
      <w:r w:rsidRPr="00DD4C00">
        <w:rPr>
          <w:rFonts w:asciiTheme="majorHAnsi" w:eastAsia="Calibri" w:hAnsiTheme="majorHAnsi" w:cstheme="majorHAnsi"/>
          <w:szCs w:val="20"/>
          <w:lang w:bidi="en-US"/>
        </w:rPr>
        <w:t>Enter the code on the form.</w:t>
      </w:r>
    </w:p>
    <w:p w14:paraId="417034FF" w14:textId="77777777" w:rsidR="00DD4C00" w:rsidRPr="00DD4C00" w:rsidRDefault="00DD4C00" w:rsidP="00BE0782">
      <w:pPr>
        <w:tabs>
          <w:tab w:val="left" w:pos="720"/>
          <w:tab w:val="left" w:pos="2160"/>
        </w:tabs>
        <w:spacing w:after="0"/>
        <w:ind w:left="2160" w:hanging="1440"/>
        <w:rPr>
          <w:rFonts w:asciiTheme="majorHAnsi" w:eastAsia="Times New Roman" w:hAnsiTheme="majorHAnsi" w:cstheme="majorHAnsi"/>
          <w:b/>
          <w:bCs/>
          <w:lang w:bidi="en-US"/>
        </w:rPr>
      </w:pPr>
      <w:r w:rsidRPr="00DD4C00">
        <w:rPr>
          <w:rFonts w:asciiTheme="majorHAnsi" w:eastAsia="Times New Roman" w:hAnsiTheme="majorHAnsi" w:cstheme="majorHAnsi"/>
          <w:b/>
          <w:bCs/>
          <w:lang w:bidi="en-US"/>
        </w:rPr>
        <w:t>Code</w:t>
      </w:r>
      <w:r w:rsidRPr="00DD4C00">
        <w:rPr>
          <w:rFonts w:asciiTheme="majorHAnsi" w:eastAsia="Times New Roman" w:hAnsiTheme="majorHAnsi" w:cstheme="majorHAnsi"/>
          <w:b/>
          <w:bCs/>
          <w:lang w:bidi="en-US"/>
        </w:rPr>
        <w:tab/>
        <w:t>Description</w:t>
      </w:r>
    </w:p>
    <w:p w14:paraId="08AE0171" w14:textId="53ABC78B" w:rsidR="00DD4C00" w:rsidRPr="00DD4C00" w:rsidRDefault="00DD4C00" w:rsidP="00BE0782">
      <w:pPr>
        <w:tabs>
          <w:tab w:val="left" w:pos="720"/>
          <w:tab w:val="left" w:pos="2160"/>
        </w:tabs>
        <w:spacing w:after="0"/>
        <w:ind w:left="2160" w:hanging="1440"/>
        <w:rPr>
          <w:rFonts w:eastAsia="Times New Roman" w:cs="Times New Roman"/>
          <w:lang w:bidi="en-US"/>
        </w:rPr>
      </w:pPr>
      <w:r w:rsidRPr="00DD4C00">
        <w:rPr>
          <w:rFonts w:eastAsia="Times New Roman" w:cs="Times New Roman"/>
          <w:lang w:bidi="en-US"/>
        </w:rPr>
        <w:t>OPT</w:t>
      </w:r>
      <w:r w:rsidRPr="00DD4C00">
        <w:rPr>
          <w:rFonts w:eastAsia="Times New Roman" w:cs="Times New Roman"/>
          <w:lang w:bidi="en-US"/>
        </w:rPr>
        <w:tab/>
        <w:t>Compliance is demonstrated by conducting a performance test for opacity</w:t>
      </w:r>
    </w:p>
    <w:p w14:paraId="3A0A16B8" w14:textId="00130FF8" w:rsidR="00DD4C00" w:rsidRPr="002B5D62" w:rsidRDefault="00DD4C00" w:rsidP="00BE0782">
      <w:pPr>
        <w:tabs>
          <w:tab w:val="left" w:pos="720"/>
          <w:tab w:val="left" w:pos="2160"/>
        </w:tabs>
        <w:ind w:left="2160" w:hanging="1440"/>
        <w:rPr>
          <w:bCs/>
        </w:rPr>
      </w:pPr>
      <w:r w:rsidRPr="00DD4C00">
        <w:t>NPTO</w:t>
      </w:r>
      <w:r w:rsidRPr="00DD4C00">
        <w:tab/>
        <w:t>A performance test is not being used</w:t>
      </w:r>
    </w:p>
    <w:p w14:paraId="0B8A0BC9" w14:textId="77777777" w:rsidR="00DD4C00" w:rsidRPr="00DD4C00" w:rsidRDefault="00DD4C00" w:rsidP="00BE0782">
      <w:pPr>
        <w:pBdr>
          <w:bottom w:val="double" w:sz="4" w:space="1" w:color="auto"/>
        </w:pBdr>
        <w:spacing w:after="0"/>
      </w:pPr>
    </w:p>
    <w:bookmarkStart w:id="33" w:name="Table_6g"/>
    <w:p w14:paraId="412E195D" w14:textId="600511D5" w:rsidR="00DD4C00" w:rsidRPr="00DD4C00" w:rsidRDefault="00C4350F" w:rsidP="00BE0782">
      <w:pPr>
        <w:spacing w:before="120"/>
        <w:ind w:left="1440" w:hanging="1440"/>
        <w:rPr>
          <w:b/>
          <w:bCs/>
        </w:rPr>
      </w:pPr>
      <w:r w:rsidRPr="00273CFE">
        <w:rPr>
          <w:rStyle w:val="Hyperlink"/>
          <w:bCs/>
        </w:rPr>
        <w:fldChar w:fldCharType="begin"/>
      </w:r>
      <w:r w:rsidR="00765060">
        <w:rPr>
          <w:rStyle w:val="Hyperlink"/>
          <w:bCs/>
        </w:rPr>
        <w:instrText>HYPERLINK  \l "TBL6g" \o "Table 6g"</w:instrText>
      </w:r>
      <w:r w:rsidRPr="00273CFE">
        <w:rPr>
          <w:rStyle w:val="Hyperlink"/>
          <w:bCs/>
        </w:rPr>
      </w:r>
      <w:r w:rsidRPr="00273CFE">
        <w:rPr>
          <w:rStyle w:val="Hyperlink"/>
          <w:bCs/>
        </w:rPr>
        <w:fldChar w:fldCharType="separate"/>
      </w:r>
      <w:r w:rsidR="00DD4C00" w:rsidRPr="00273CFE">
        <w:rPr>
          <w:rStyle w:val="Hyperlink"/>
          <w:b/>
          <w:bCs/>
        </w:rPr>
        <w:t>Table 6g</w:t>
      </w:r>
      <w:bookmarkEnd w:id="33"/>
      <w:r w:rsidRPr="00273CFE">
        <w:rPr>
          <w:rStyle w:val="Hyperlink"/>
          <w:bCs/>
        </w:rPr>
        <w:fldChar w:fldCharType="end"/>
      </w:r>
      <w:r w:rsidR="00DD4C00" w:rsidRPr="00DD4C00">
        <w:rPr>
          <w:b/>
        </w:rPr>
        <w:t>:</w:t>
      </w:r>
      <w:r w:rsidR="00DD4C00" w:rsidRPr="00DD4C00">
        <w:rPr>
          <w:b/>
        </w:rPr>
        <w:tab/>
        <w:t xml:space="preserve">Title 40 Code of Federal Regulations Part 63 (40 CFR Part 63), Subpart DDDDD: </w:t>
      </w:r>
      <w:r w:rsidR="00DD4C00" w:rsidRPr="00DD4C00">
        <w:rPr>
          <w:b/>
          <w:bCs/>
        </w:rPr>
        <w:t xml:space="preserve">Industrial, Commercial, and </w:t>
      </w:r>
      <w:r w:rsidR="007C0D8B">
        <w:rPr>
          <w:b/>
          <w:bCs/>
        </w:rPr>
        <w:t>Institutional</w:t>
      </w:r>
      <w:r w:rsidR="007C0D8B" w:rsidRPr="00DD4C00">
        <w:rPr>
          <w:b/>
          <w:bCs/>
        </w:rPr>
        <w:t xml:space="preserve"> </w:t>
      </w:r>
      <w:r w:rsidR="00DD4C00" w:rsidRPr="00DD4C00">
        <w:rPr>
          <w:b/>
          <w:bCs/>
        </w:rPr>
        <w:t>Process Heaters</w:t>
      </w:r>
    </w:p>
    <w:p w14:paraId="208FE200" w14:textId="77777777" w:rsidR="00DD4C00" w:rsidRPr="00DD4C00" w:rsidRDefault="00DD4C00" w:rsidP="00647F8A">
      <w:pPr>
        <w:tabs>
          <w:tab w:val="left" w:pos="0"/>
        </w:tabs>
        <w:spacing w:after="0"/>
      </w:pPr>
      <w:r w:rsidRPr="00DD4C00">
        <w:rPr>
          <w:b/>
        </w:rPr>
        <w:t>Unit ID No</w:t>
      </w:r>
      <w:r w:rsidRPr="00DD4C00">
        <w:t>.:</w:t>
      </w:r>
    </w:p>
    <w:p w14:paraId="4ADDCBFA" w14:textId="77777777" w:rsidR="00DD4C00" w:rsidRPr="00DD4C00" w:rsidRDefault="00DD4C00" w:rsidP="00647F8A">
      <w:pPr>
        <w:tabs>
          <w:tab w:val="left" w:pos="0"/>
        </w:tabs>
      </w:pPr>
      <w:r w:rsidRPr="00DD4C00">
        <w:t>Enter the identification number (ID No.) for the unit (maximum 10 characters) as listed on Form OP SUM (Individual Unit Summary).</w:t>
      </w:r>
    </w:p>
    <w:p w14:paraId="39E71594" w14:textId="77777777" w:rsidR="00DD4C00" w:rsidRPr="00DD4C00" w:rsidRDefault="00DD4C00" w:rsidP="00647F8A">
      <w:pPr>
        <w:tabs>
          <w:tab w:val="left" w:pos="0"/>
        </w:tabs>
        <w:spacing w:after="0"/>
      </w:pPr>
      <w:r w:rsidRPr="00DD4C00">
        <w:rPr>
          <w:b/>
        </w:rPr>
        <w:t>SOP/GOP Index No.</w:t>
      </w:r>
      <w:r w:rsidRPr="00DD4C00">
        <w:t>:</w:t>
      </w:r>
    </w:p>
    <w:p w14:paraId="7133ADD9" w14:textId="422CD9D3" w:rsidR="00DD4C00" w:rsidRPr="00DD4C00" w:rsidRDefault="00DD4C00" w:rsidP="00647F8A">
      <w:pPr>
        <w:tabs>
          <w:tab w:val="left" w:pos="0"/>
        </w:tabs>
      </w:pPr>
      <w:r w:rsidRPr="00DD4C00">
        <w:rPr>
          <w:rFonts w:asciiTheme="majorHAnsi" w:hAnsiTheme="majorHAnsi" w:cstheme="majorHAnsi"/>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Pr="00DD4C00">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5229A3" w:rsidRPr="00436B50">
        <w:rPr>
          <w:rFonts w:cs="Times New Roman"/>
        </w:rPr>
        <w:t xml:space="preserve">For additional information relating to SOP and GOP index numbers, please see the Completing FOP Applications – Additional Guidance on the TCEQ website at </w:t>
      </w:r>
      <w:hyperlink r:id="rId26" w:tooltip="TCEQ - Completing FOP Applications - Additional Guidance" w:history="1">
        <w:r w:rsidR="005229A3" w:rsidRPr="00273CFE">
          <w:rPr>
            <w:rStyle w:val="Hyperlink"/>
          </w:rPr>
          <w:t>www.tceq.texas.gov/permitting/air/guidance/titlev/tv_fop_guidance.html</w:t>
        </w:r>
      </w:hyperlink>
      <w:r w:rsidRPr="00793C3D">
        <w:rPr>
          <w:rStyle w:val="Hyperlink"/>
          <w:color w:val="auto"/>
          <w:u w:val="none"/>
        </w:rPr>
        <w:t>.</w:t>
      </w:r>
    </w:p>
    <w:p w14:paraId="3B711378" w14:textId="0282E832" w:rsidR="003928B5" w:rsidRDefault="00DD4C00" w:rsidP="00787A02">
      <w:pPr>
        <w:numPr>
          <w:ilvl w:val="0"/>
          <w:numId w:val="24"/>
        </w:numPr>
        <w:tabs>
          <w:tab w:val="left" w:pos="547"/>
        </w:tabs>
        <w:spacing w:before="120"/>
        <w:ind w:left="547" w:hanging="547"/>
        <w:contextualSpacing/>
        <w:rPr>
          <w:rFonts w:eastAsia="Calibri" w:cs="Times New Roman"/>
          <w:b/>
          <w:bCs/>
          <w:lang w:bidi="en-US"/>
        </w:rPr>
      </w:pPr>
      <w:r w:rsidRPr="00DD4C00">
        <w:rPr>
          <w:rFonts w:eastAsia="Calibri" w:cs="Times New Roman"/>
          <w:b/>
          <w:lang w:bidi="en-US"/>
        </w:rPr>
        <w:t>Complete “SFF Subcategory” only if “Table Applicability” is “SFF10.”</w:t>
      </w:r>
      <w:r w:rsidRPr="00DD4C00">
        <w:rPr>
          <w:rFonts w:eastAsia="Calibri" w:cs="Times New Roman"/>
          <w:b/>
          <w:bCs/>
          <w:lang w:bidi="en-US"/>
        </w:rPr>
        <w:t xml:space="preserve"> </w:t>
      </w:r>
    </w:p>
    <w:p w14:paraId="127BBE90" w14:textId="61383C2F" w:rsidR="003928B5" w:rsidRDefault="003928B5">
      <w:pPr>
        <w:rPr>
          <w:rFonts w:eastAsia="Calibri" w:cs="Times New Roman"/>
          <w:b/>
          <w:lang w:bidi="en-US"/>
        </w:rPr>
      </w:pPr>
      <w:r>
        <w:rPr>
          <w:rFonts w:eastAsia="Calibri" w:cs="Times New Roman"/>
          <w:b/>
          <w:lang w:bidi="en-US"/>
        </w:rPr>
        <w:br w:type="page"/>
      </w:r>
    </w:p>
    <w:p w14:paraId="621088E2" w14:textId="04F051B8" w:rsidR="00DD4C00" w:rsidRDefault="00DD4C00" w:rsidP="004954DB">
      <w:pPr>
        <w:tabs>
          <w:tab w:val="left" w:pos="0"/>
        </w:tabs>
        <w:spacing w:after="0"/>
        <w:rPr>
          <w:rFonts w:eastAsia="Calibri" w:cs="Times New Roman"/>
          <w:b/>
          <w:lang w:bidi="en-US"/>
        </w:rPr>
      </w:pPr>
      <w:r>
        <w:rPr>
          <w:rFonts w:eastAsia="Calibri" w:cs="Times New Roman"/>
          <w:b/>
          <w:lang w:bidi="en-US"/>
        </w:rPr>
        <w:lastRenderedPageBreak/>
        <w:t>SFF Subcategory:</w:t>
      </w:r>
    </w:p>
    <w:p w14:paraId="6EA924AA" w14:textId="77A16F93" w:rsidR="00DD4C00" w:rsidRPr="00DD4C00" w:rsidRDefault="00DD4C00" w:rsidP="004954DB">
      <w:pPr>
        <w:tabs>
          <w:tab w:val="left" w:pos="0"/>
        </w:tabs>
        <w:rPr>
          <w:rFonts w:eastAsia="Calibri" w:cs="Times New Roman"/>
          <w:szCs w:val="20"/>
          <w:lang w:bidi="en-US"/>
        </w:rPr>
      </w:pPr>
      <w:r w:rsidRPr="00DD4C00">
        <w:rPr>
          <w:rFonts w:eastAsia="Calibri" w:cs="Times New Roman"/>
          <w:szCs w:val="20"/>
          <w:lang w:bidi="en-US"/>
        </w:rPr>
        <w:t>Select one of the following options that describes subcategory of the boiler or process heater as listed in</w:t>
      </w:r>
      <w:r w:rsidR="00647F8A">
        <w:rPr>
          <w:rFonts w:eastAsia="Calibri" w:cs="Times New Roman"/>
          <w:szCs w:val="20"/>
          <w:lang w:bidi="en-US"/>
        </w:rPr>
        <w:t xml:space="preserve"> </w:t>
      </w:r>
      <w:r w:rsidRPr="00DD4C00">
        <w:rPr>
          <w:rFonts w:eastAsia="Calibri" w:cs="Times New Roman"/>
          <w:szCs w:val="20"/>
          <w:lang w:bidi="en-US"/>
        </w:rPr>
        <w:t>§</w:t>
      </w:r>
      <w:r w:rsidR="00647F8A">
        <w:rPr>
          <w:rFonts w:eastAsia="Calibri" w:cs="Times New Roman"/>
          <w:szCs w:val="20"/>
          <w:lang w:bidi="en-US"/>
        </w:rPr>
        <w:t xml:space="preserve"> </w:t>
      </w:r>
      <w:r w:rsidRPr="00DD4C00">
        <w:rPr>
          <w:rFonts w:eastAsia="Calibri" w:cs="Times New Roman"/>
          <w:szCs w:val="20"/>
          <w:lang w:bidi="en-US"/>
        </w:rPr>
        <w:t xml:space="preserve">63.7499. </w:t>
      </w:r>
      <w:r w:rsidRPr="00DD4C00">
        <w:rPr>
          <w:rFonts w:asciiTheme="majorHAnsi" w:eastAsia="Calibri" w:hAnsiTheme="majorHAnsi" w:cstheme="majorHAnsi"/>
          <w:szCs w:val="20"/>
          <w:lang w:bidi="en-US"/>
        </w:rPr>
        <w:t>Enter the code on the form</w:t>
      </w:r>
    </w:p>
    <w:p w14:paraId="69F09108" w14:textId="77777777" w:rsidR="00DD4C00" w:rsidRPr="00DD4C00" w:rsidRDefault="00DD4C00" w:rsidP="00DD4C00">
      <w:pPr>
        <w:spacing w:after="0"/>
        <w:ind w:left="2160" w:hanging="1440"/>
        <w:rPr>
          <w:rFonts w:asciiTheme="majorHAnsi" w:eastAsia="Times New Roman" w:hAnsiTheme="majorHAnsi" w:cstheme="majorHAnsi"/>
          <w:b/>
          <w:bCs/>
          <w:lang w:bidi="en-US"/>
        </w:rPr>
      </w:pPr>
      <w:r w:rsidRPr="00DD4C00">
        <w:rPr>
          <w:rFonts w:asciiTheme="majorHAnsi" w:eastAsia="Times New Roman" w:hAnsiTheme="majorHAnsi" w:cstheme="majorHAnsi"/>
          <w:b/>
          <w:bCs/>
          <w:lang w:bidi="en-US"/>
        </w:rPr>
        <w:t>Code</w:t>
      </w:r>
      <w:r w:rsidRPr="00DD4C00">
        <w:rPr>
          <w:rFonts w:asciiTheme="majorHAnsi" w:eastAsia="Times New Roman" w:hAnsiTheme="majorHAnsi" w:cstheme="majorHAnsi"/>
          <w:b/>
          <w:bCs/>
          <w:lang w:bidi="en-US"/>
        </w:rPr>
        <w:tab/>
        <w:t>Description</w:t>
      </w:r>
    </w:p>
    <w:p w14:paraId="4CF8C2BC" w14:textId="173FF53B"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7499(A)</w:t>
      </w:r>
      <w:r w:rsidRPr="00DD4C00">
        <w:rPr>
          <w:rFonts w:eastAsia="Times New Roman" w:cs="Times New Roman"/>
          <w:lang w:bidi="en-US"/>
        </w:rPr>
        <w:tab/>
        <w:t>The unit is a pulverized coal/solid fossil fuel unit</w:t>
      </w:r>
    </w:p>
    <w:p w14:paraId="7E539689" w14:textId="0BAF91AF"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7499(B)</w:t>
      </w:r>
      <w:r w:rsidRPr="00DD4C00">
        <w:rPr>
          <w:rFonts w:eastAsia="Times New Roman" w:cs="Times New Roman"/>
          <w:lang w:bidi="en-US"/>
        </w:rPr>
        <w:tab/>
        <w:t>The unit is a stoker designed to burn coal/solid fossil fuel</w:t>
      </w:r>
    </w:p>
    <w:p w14:paraId="67C309B7" w14:textId="6974915B"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7499(C)</w:t>
      </w:r>
      <w:r w:rsidRPr="00DD4C00">
        <w:rPr>
          <w:rFonts w:eastAsia="Times New Roman" w:cs="Times New Roman"/>
          <w:lang w:bidi="en-US"/>
        </w:rPr>
        <w:tab/>
        <w:t>The unit is a fluidized bed unit designed to burn coal/solid fossil fuel (without integrated heat exchanger)</w:t>
      </w:r>
    </w:p>
    <w:p w14:paraId="4058ACBD" w14:textId="37F94566"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7499(S)</w:t>
      </w:r>
      <w:r w:rsidRPr="00DD4C00">
        <w:rPr>
          <w:rFonts w:eastAsia="Times New Roman" w:cs="Times New Roman"/>
          <w:lang w:bidi="en-US"/>
        </w:rPr>
        <w:tab/>
        <w:t xml:space="preserve">The unit is a fluidized bed unit with an integrated fluidized bed heat exchanger designed to burn coal/solid fossil fuel </w:t>
      </w:r>
    </w:p>
    <w:p w14:paraId="6E1CFC9E" w14:textId="6BE26046" w:rsidR="00B85B51" w:rsidRDefault="00DD4C00" w:rsidP="00273CFE">
      <w:pPr>
        <w:ind w:left="2160" w:hanging="1440"/>
        <w:rPr>
          <w:rFonts w:eastAsia="Calibri" w:cs="Times New Roman"/>
          <w:b/>
          <w:lang w:bidi="en-US"/>
        </w:rPr>
      </w:pPr>
      <w:r w:rsidRPr="00DD4C00">
        <w:rPr>
          <w:rFonts w:asciiTheme="majorHAnsi" w:hAnsiTheme="majorHAnsi" w:cstheme="majorHAnsi"/>
        </w:rPr>
        <w:t>SUBNA</w:t>
      </w:r>
      <w:r w:rsidRPr="00DD4C00">
        <w:rPr>
          <w:rFonts w:asciiTheme="majorHAnsi" w:hAnsiTheme="majorHAnsi" w:cstheme="majorHAnsi"/>
        </w:rPr>
        <w:tab/>
        <w:t>The unit is not part of the subcategories in §</w:t>
      </w:r>
      <w:r w:rsidR="004954DB">
        <w:rPr>
          <w:rFonts w:asciiTheme="majorHAnsi" w:hAnsiTheme="majorHAnsi" w:cstheme="majorHAnsi"/>
        </w:rPr>
        <w:t xml:space="preserve"> </w:t>
      </w:r>
      <w:r w:rsidRPr="00DD4C00">
        <w:rPr>
          <w:rFonts w:asciiTheme="majorHAnsi" w:hAnsiTheme="majorHAnsi" w:cstheme="majorHAnsi"/>
        </w:rPr>
        <w:t>63.7499(a), (b), (c) or (s)</w:t>
      </w:r>
    </w:p>
    <w:p w14:paraId="09DEB4F9" w14:textId="783D98D4" w:rsidR="00DD4C00" w:rsidRDefault="00DD4C00" w:rsidP="004954DB">
      <w:pPr>
        <w:tabs>
          <w:tab w:val="left" w:pos="0"/>
        </w:tabs>
        <w:spacing w:after="0"/>
        <w:rPr>
          <w:rFonts w:eastAsia="Calibri" w:cs="Times New Roman"/>
          <w:b/>
          <w:lang w:bidi="en-US"/>
        </w:rPr>
      </w:pPr>
      <w:r>
        <w:rPr>
          <w:rFonts w:eastAsia="Calibri" w:cs="Times New Roman"/>
          <w:b/>
          <w:lang w:bidi="en-US"/>
        </w:rPr>
        <w:t>CO Emission:</w:t>
      </w:r>
    </w:p>
    <w:p w14:paraId="68F1FC57" w14:textId="77777777" w:rsidR="00DD4C00" w:rsidRPr="00DD4C00" w:rsidRDefault="00DD4C00" w:rsidP="004954DB">
      <w:pPr>
        <w:tabs>
          <w:tab w:val="left" w:pos="0"/>
        </w:tabs>
        <w:rPr>
          <w:rFonts w:eastAsia="Calibri" w:cs="Times New Roman"/>
          <w:szCs w:val="20"/>
          <w:lang w:bidi="en-US"/>
        </w:rPr>
      </w:pPr>
      <w:r w:rsidRPr="00DD4C00">
        <w:rPr>
          <w:rFonts w:eastAsia="Calibri" w:cs="Times New Roman"/>
          <w:szCs w:val="20"/>
          <w:lang w:bidi="en-US"/>
        </w:rPr>
        <w:t xml:space="preserve">Select one of the following CO emission limit options. </w:t>
      </w:r>
      <w:r w:rsidRPr="00DD4C00">
        <w:rPr>
          <w:rFonts w:asciiTheme="majorHAnsi" w:eastAsia="Calibri" w:hAnsiTheme="majorHAnsi" w:cstheme="majorHAnsi"/>
          <w:szCs w:val="20"/>
          <w:lang w:bidi="en-US"/>
        </w:rPr>
        <w:t>Enter the code on the form</w:t>
      </w:r>
    </w:p>
    <w:p w14:paraId="266A8A1F" w14:textId="77777777" w:rsidR="00DD4C00" w:rsidRPr="00DD4C00" w:rsidRDefault="00DD4C00" w:rsidP="00DD4C00">
      <w:pPr>
        <w:spacing w:after="0"/>
        <w:ind w:left="2160" w:hanging="1440"/>
        <w:rPr>
          <w:rFonts w:asciiTheme="majorHAnsi" w:eastAsia="Times New Roman" w:hAnsiTheme="majorHAnsi" w:cstheme="majorHAnsi"/>
          <w:b/>
          <w:bCs/>
          <w:lang w:bidi="en-US"/>
        </w:rPr>
      </w:pPr>
      <w:r w:rsidRPr="00DD4C00">
        <w:rPr>
          <w:rFonts w:asciiTheme="majorHAnsi" w:eastAsia="Times New Roman" w:hAnsiTheme="majorHAnsi" w:cstheme="majorHAnsi"/>
          <w:b/>
          <w:bCs/>
          <w:lang w:bidi="en-US"/>
        </w:rPr>
        <w:t>Code</w:t>
      </w:r>
      <w:r w:rsidRPr="00DD4C00">
        <w:rPr>
          <w:rFonts w:asciiTheme="majorHAnsi" w:eastAsia="Times New Roman" w:hAnsiTheme="majorHAnsi" w:cstheme="majorHAnsi"/>
          <w:b/>
          <w:bCs/>
          <w:lang w:bidi="en-US"/>
        </w:rPr>
        <w:tab/>
        <w:t>Description</w:t>
      </w:r>
    </w:p>
    <w:p w14:paraId="60418C0B" w14:textId="1934C2D4"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PPM-CO</w:t>
      </w:r>
      <w:r w:rsidRPr="00DD4C00">
        <w:rPr>
          <w:rFonts w:eastAsia="Times New Roman" w:cs="Times New Roman"/>
          <w:lang w:bidi="en-US"/>
        </w:rPr>
        <w:tab/>
        <w:t>Emission limits for CO in ppm by volume not using a CEMS (valid code only if “Table Applicability” is “SFF10” or if “BM Subcategory” is “”7499(I)”, “7499(E)”, “7499(F)”, “7499(J)” or “7944(H)”</w:t>
      </w:r>
    </w:p>
    <w:p w14:paraId="4DA67875" w14:textId="1823059A"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CEM-CO</w:t>
      </w:r>
      <w:r w:rsidRPr="00DD4C00">
        <w:rPr>
          <w:rFonts w:eastAsia="Times New Roman" w:cs="Times New Roman"/>
          <w:lang w:bidi="en-US"/>
        </w:rPr>
        <w:tab/>
        <w:t>Emission limits for CO in ppm by volume using a CEMS (valid code only if “Table Applicability” is “SFF10” or if “BM Subcategory” is “”7499(I)”, “7499(E), “7499(F)”, “7499(J)”, or “7944(H)”</w:t>
      </w:r>
    </w:p>
    <w:p w14:paraId="06680104" w14:textId="77777777"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PPM</w:t>
      </w:r>
      <w:r w:rsidRPr="00DD4C00">
        <w:rPr>
          <w:rFonts w:eastAsia="Times New Roman" w:cs="Times New Roman"/>
          <w:lang w:bidi="en-US"/>
        </w:rPr>
        <w:tab/>
        <w:t xml:space="preserve">Emission limits for CO in ppm by volume (valid code only if “Table Applicability” is “HLIQ10” or “LLIQ10”, </w:t>
      </w:r>
      <w:proofErr w:type="gramStart"/>
      <w:r w:rsidRPr="00DD4C00">
        <w:rPr>
          <w:rFonts w:eastAsia="Times New Roman" w:cs="Times New Roman"/>
          <w:lang w:bidi="en-US"/>
        </w:rPr>
        <w:t>or  “</w:t>
      </w:r>
      <w:proofErr w:type="gramEnd"/>
      <w:r w:rsidRPr="00DD4C00">
        <w:rPr>
          <w:rFonts w:eastAsia="Times New Roman" w:cs="Times New Roman"/>
          <w:lang w:bidi="en-US"/>
        </w:rPr>
        <w:t xml:space="preserve">GAS2” or  “BM Subcategory” is “”7499(D)”, or “7499(G)” </w:t>
      </w:r>
    </w:p>
    <w:p w14:paraId="5EFBA821" w14:textId="77777777"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STM-CO</w:t>
      </w:r>
      <w:r w:rsidRPr="00DD4C00">
        <w:rPr>
          <w:rFonts w:eastAsia="Times New Roman" w:cs="Times New Roman"/>
          <w:lang w:bidi="en-US"/>
        </w:rPr>
        <w:tab/>
        <w:t>Emission limits for CO in pounds per MMBtu steam output (for steam generating units only).</w:t>
      </w:r>
    </w:p>
    <w:p w14:paraId="776DE43C" w14:textId="52EFCDE4" w:rsidR="00DD4C00" w:rsidRPr="00DD4C00" w:rsidRDefault="00DD4C00" w:rsidP="00DD4C00">
      <w:pPr>
        <w:ind w:left="2160" w:hanging="1440"/>
      </w:pPr>
      <w:r w:rsidRPr="00DD4C00">
        <w:t>MWH-CO</w:t>
      </w:r>
      <w:r w:rsidRPr="00DD4C00">
        <w:tab/>
        <w:t>Emission limits for CO in pounds per MWh power output (for boilers that generate electricity only)</w:t>
      </w:r>
    </w:p>
    <w:p w14:paraId="4DD9C15D" w14:textId="4F8E890E" w:rsidR="00DD4C00" w:rsidRPr="00DD4C00" w:rsidRDefault="00DD4C00" w:rsidP="00793C3D">
      <w:pPr>
        <w:numPr>
          <w:ilvl w:val="0"/>
          <w:numId w:val="25"/>
        </w:numPr>
        <w:tabs>
          <w:tab w:val="left" w:pos="547"/>
        </w:tabs>
        <w:spacing w:before="120"/>
        <w:ind w:left="547" w:hanging="547"/>
        <w:rPr>
          <w:b/>
        </w:rPr>
      </w:pPr>
      <w:bookmarkStart w:id="34" w:name="_Hlk64881598"/>
      <w:r w:rsidRPr="00DD4C00">
        <w:rPr>
          <w:b/>
        </w:rPr>
        <w:t>Continue only if “CO Emission” is “PPM-CO</w:t>
      </w:r>
      <w:r w:rsidR="003104B4" w:rsidRPr="00DD4C00">
        <w:rPr>
          <w:b/>
        </w:rPr>
        <w:t>,”</w:t>
      </w:r>
      <w:r w:rsidRPr="00DD4C00">
        <w:rPr>
          <w:b/>
        </w:rPr>
        <w:t xml:space="preserve"> “PPM</w:t>
      </w:r>
      <w:r w:rsidR="003104B4" w:rsidRPr="00DD4C00">
        <w:rPr>
          <w:b/>
        </w:rPr>
        <w:t>,”</w:t>
      </w:r>
      <w:r w:rsidRPr="00DD4C00">
        <w:rPr>
          <w:b/>
        </w:rPr>
        <w:t xml:space="preserve"> “STM-CO</w:t>
      </w:r>
      <w:r w:rsidR="003104B4" w:rsidRPr="00DD4C00">
        <w:rPr>
          <w:b/>
        </w:rPr>
        <w:t>,”</w:t>
      </w:r>
      <w:r w:rsidRPr="00DD4C00">
        <w:rPr>
          <w:b/>
        </w:rPr>
        <w:t xml:space="preserve"> or “MWH-CO.”</w:t>
      </w:r>
    </w:p>
    <w:bookmarkEnd w:id="34"/>
    <w:p w14:paraId="62BD8124" w14:textId="7B4E5C0F" w:rsidR="00DD4C00" w:rsidRDefault="00DD4C00" w:rsidP="004954DB">
      <w:pPr>
        <w:tabs>
          <w:tab w:val="left" w:pos="0"/>
        </w:tabs>
        <w:spacing w:after="0"/>
        <w:rPr>
          <w:rFonts w:eastAsia="Calibri" w:cs="Times New Roman"/>
          <w:bCs/>
          <w:lang w:bidi="en-US"/>
        </w:rPr>
      </w:pPr>
      <w:r>
        <w:rPr>
          <w:rFonts w:eastAsia="Calibri" w:cs="Times New Roman"/>
          <w:b/>
          <w:lang w:bidi="en-US"/>
        </w:rPr>
        <w:t>CO-CMS:</w:t>
      </w:r>
    </w:p>
    <w:p w14:paraId="188D99B7" w14:textId="4F1F60F9" w:rsidR="00DD4C00" w:rsidRPr="00DD4C00" w:rsidRDefault="00DD4C00" w:rsidP="004954DB">
      <w:pPr>
        <w:tabs>
          <w:tab w:val="left" w:pos="0"/>
        </w:tabs>
        <w:rPr>
          <w:rFonts w:eastAsia="Calibri" w:cs="Times New Roman"/>
          <w:szCs w:val="20"/>
          <w:lang w:bidi="en-US"/>
        </w:rPr>
      </w:pPr>
      <w:r w:rsidRPr="00DD4C00">
        <w:rPr>
          <w:rFonts w:eastAsia="Calibri" w:cs="Times New Roman"/>
          <w:szCs w:val="20"/>
          <w:lang w:bidi="en-US"/>
        </w:rPr>
        <w:t xml:space="preserve">Select one of the following continuous monitoring </w:t>
      </w:r>
      <w:r w:rsidR="004954DB" w:rsidRPr="00DD4C00">
        <w:rPr>
          <w:rFonts w:eastAsia="Calibri" w:cs="Times New Roman"/>
          <w:szCs w:val="20"/>
          <w:lang w:bidi="en-US"/>
        </w:rPr>
        <w:t>system</w:t>
      </w:r>
      <w:r w:rsidRPr="00DD4C00">
        <w:rPr>
          <w:rFonts w:eastAsia="Calibri" w:cs="Times New Roman"/>
          <w:szCs w:val="20"/>
          <w:lang w:bidi="en-US"/>
        </w:rPr>
        <w:t xml:space="preserve"> (CMS) options. </w:t>
      </w:r>
      <w:r w:rsidRPr="00DD4C00">
        <w:rPr>
          <w:rFonts w:asciiTheme="majorHAnsi" w:eastAsia="Calibri" w:hAnsiTheme="majorHAnsi" w:cstheme="majorHAnsi"/>
          <w:szCs w:val="20"/>
          <w:lang w:bidi="en-US"/>
        </w:rPr>
        <w:t>Enter the code on the form.</w:t>
      </w:r>
    </w:p>
    <w:p w14:paraId="0B4ECC0A" w14:textId="77777777" w:rsidR="00DD4C00" w:rsidRPr="00DD4C00" w:rsidRDefault="00DD4C00" w:rsidP="00DD4C00">
      <w:pPr>
        <w:spacing w:after="0"/>
        <w:ind w:left="2160" w:hanging="1440"/>
        <w:rPr>
          <w:rFonts w:asciiTheme="majorHAnsi" w:eastAsia="Times New Roman" w:hAnsiTheme="majorHAnsi" w:cstheme="majorHAnsi"/>
          <w:b/>
          <w:bCs/>
          <w:lang w:bidi="en-US"/>
        </w:rPr>
      </w:pPr>
      <w:r w:rsidRPr="00DD4C00">
        <w:rPr>
          <w:rFonts w:asciiTheme="majorHAnsi" w:eastAsia="Times New Roman" w:hAnsiTheme="majorHAnsi" w:cstheme="majorHAnsi"/>
          <w:b/>
          <w:bCs/>
          <w:lang w:bidi="en-US"/>
        </w:rPr>
        <w:t>Code</w:t>
      </w:r>
      <w:r w:rsidRPr="00DD4C00">
        <w:rPr>
          <w:rFonts w:asciiTheme="majorHAnsi" w:eastAsia="Times New Roman" w:hAnsiTheme="majorHAnsi" w:cstheme="majorHAnsi"/>
          <w:b/>
          <w:bCs/>
          <w:lang w:bidi="en-US"/>
        </w:rPr>
        <w:tab/>
        <w:t xml:space="preserve">Description </w:t>
      </w:r>
    </w:p>
    <w:p w14:paraId="68F644D7" w14:textId="77777777"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COCMS</w:t>
      </w:r>
      <w:r w:rsidRPr="00DD4C00">
        <w:rPr>
          <w:rFonts w:eastAsia="Times New Roman" w:cs="Times New Roman"/>
          <w:lang w:bidi="en-US"/>
        </w:rPr>
        <w:tab/>
        <w:t>CO CMS is used</w:t>
      </w:r>
    </w:p>
    <w:p w14:paraId="4ABBE890" w14:textId="54BA9199" w:rsidR="00DD4C00" w:rsidRPr="00DD4C00" w:rsidRDefault="00DD4C00" w:rsidP="00DD4C00">
      <w:pPr>
        <w:ind w:left="2160" w:hanging="1440"/>
      </w:pPr>
      <w:proofErr w:type="gramStart"/>
      <w:r w:rsidRPr="00DD4C00">
        <w:t>NONE</w:t>
      </w:r>
      <w:proofErr w:type="gramEnd"/>
      <w:r w:rsidRPr="00DD4C00">
        <w:tab/>
        <w:t>CMS is not being used</w:t>
      </w:r>
    </w:p>
    <w:p w14:paraId="082EA403" w14:textId="212825EF" w:rsidR="00DD4C00" w:rsidRDefault="00DD4C00" w:rsidP="004954DB">
      <w:pPr>
        <w:tabs>
          <w:tab w:val="left" w:pos="0"/>
        </w:tabs>
        <w:spacing w:after="0"/>
        <w:rPr>
          <w:rFonts w:eastAsia="Calibri" w:cs="Times New Roman"/>
          <w:b/>
          <w:lang w:bidi="en-US"/>
        </w:rPr>
      </w:pPr>
      <w:r>
        <w:rPr>
          <w:rFonts w:eastAsia="Calibri" w:cs="Times New Roman"/>
          <w:b/>
          <w:lang w:bidi="en-US"/>
        </w:rPr>
        <w:t>CO-Test:</w:t>
      </w:r>
    </w:p>
    <w:p w14:paraId="6BC943E1" w14:textId="77777777" w:rsidR="00DD4C00" w:rsidRPr="00DD4C00" w:rsidRDefault="00DD4C00" w:rsidP="004954DB">
      <w:pPr>
        <w:tabs>
          <w:tab w:val="left" w:pos="0"/>
        </w:tabs>
      </w:pPr>
      <w:r w:rsidRPr="00DD4C00">
        <w:t xml:space="preserve">Select one of the following CO performance test options. </w:t>
      </w:r>
      <w:r w:rsidRPr="00DD4C00">
        <w:rPr>
          <w:rFonts w:asciiTheme="majorHAnsi" w:hAnsiTheme="majorHAnsi" w:cstheme="majorHAnsi"/>
        </w:rPr>
        <w:t>Enter the code on the form.</w:t>
      </w:r>
    </w:p>
    <w:p w14:paraId="233E0833" w14:textId="77777777" w:rsidR="00DD4C00" w:rsidRPr="00DD4C00" w:rsidRDefault="00DD4C00" w:rsidP="00DD4C00">
      <w:pPr>
        <w:spacing w:after="0"/>
        <w:ind w:left="2160" w:hanging="1440"/>
        <w:rPr>
          <w:rFonts w:asciiTheme="majorHAnsi" w:eastAsia="Times New Roman" w:hAnsiTheme="majorHAnsi" w:cstheme="majorHAnsi"/>
          <w:b/>
          <w:bCs/>
          <w:lang w:bidi="en-US"/>
        </w:rPr>
      </w:pPr>
      <w:r w:rsidRPr="00DD4C00">
        <w:rPr>
          <w:rFonts w:asciiTheme="majorHAnsi" w:eastAsia="Times New Roman" w:hAnsiTheme="majorHAnsi" w:cstheme="majorHAnsi"/>
          <w:b/>
          <w:bCs/>
          <w:lang w:bidi="en-US"/>
        </w:rPr>
        <w:t>Code</w:t>
      </w:r>
      <w:r w:rsidRPr="00DD4C00">
        <w:rPr>
          <w:rFonts w:asciiTheme="majorHAnsi" w:eastAsia="Times New Roman" w:hAnsiTheme="majorHAnsi" w:cstheme="majorHAnsi"/>
          <w:b/>
          <w:bCs/>
          <w:lang w:bidi="en-US"/>
        </w:rPr>
        <w:tab/>
        <w:t>Description</w:t>
      </w:r>
    </w:p>
    <w:p w14:paraId="1DCD50F0" w14:textId="14707865" w:rsidR="00DD4C00" w:rsidRPr="00DD4C00" w:rsidRDefault="00DD4C00" w:rsidP="00DD4C00">
      <w:pPr>
        <w:spacing w:after="0"/>
        <w:ind w:left="2160" w:hanging="1440"/>
        <w:rPr>
          <w:rFonts w:eastAsia="Times New Roman" w:cs="Times New Roman"/>
          <w:lang w:bidi="en-US"/>
        </w:rPr>
      </w:pPr>
      <w:r w:rsidRPr="00DD4C00">
        <w:rPr>
          <w:rFonts w:eastAsia="Times New Roman" w:cs="Times New Roman"/>
          <w:lang w:bidi="en-US"/>
        </w:rPr>
        <w:t>PT</w:t>
      </w:r>
      <w:r w:rsidRPr="00DD4C00">
        <w:rPr>
          <w:rFonts w:eastAsia="Times New Roman" w:cs="Times New Roman"/>
          <w:lang w:bidi="en-US"/>
        </w:rPr>
        <w:tab/>
        <w:t>Compliance is demonstrated by conducting a performance test for CO</w:t>
      </w:r>
    </w:p>
    <w:p w14:paraId="1C43FBE5" w14:textId="39C77E0D" w:rsidR="00DD4C00" w:rsidRPr="002B5D62" w:rsidRDefault="00DD4C00" w:rsidP="002B5D62">
      <w:pPr>
        <w:spacing w:after="0"/>
        <w:ind w:left="2160" w:hanging="1440"/>
        <w:rPr>
          <w:rFonts w:eastAsia="Times New Roman" w:cs="Times New Roman"/>
          <w:lang w:bidi="en-US"/>
        </w:rPr>
      </w:pPr>
      <w:r w:rsidRPr="00DD4C00">
        <w:rPr>
          <w:rFonts w:eastAsia="Times New Roman" w:cs="Times New Roman"/>
          <w:lang w:bidi="en-US"/>
        </w:rPr>
        <w:t>NPT</w:t>
      </w:r>
      <w:r w:rsidRPr="00DD4C00">
        <w:rPr>
          <w:rFonts w:eastAsia="Times New Roman" w:cs="Times New Roman"/>
          <w:lang w:bidi="en-US"/>
        </w:rPr>
        <w:tab/>
        <w:t>A performance test is not being used</w:t>
      </w:r>
    </w:p>
    <w:p w14:paraId="5A7BF9FD" w14:textId="77777777" w:rsidR="00DD4C00" w:rsidRDefault="00DD4C00" w:rsidP="00DD4C00">
      <w:pPr>
        <w:rPr>
          <w:rFonts w:eastAsia="Calibri" w:cs="Times New Roman"/>
          <w:b/>
          <w:lang w:bidi="en-US"/>
        </w:rPr>
      </w:pPr>
    </w:p>
    <w:p w14:paraId="4DA3B555" w14:textId="7C04AD5E" w:rsidR="006E5B83" w:rsidRDefault="006E5B83" w:rsidP="002B5D62">
      <w:pPr>
        <w:rPr>
          <w:rFonts w:asciiTheme="majorHAnsi" w:hAnsiTheme="majorHAnsi" w:cstheme="majorHAnsi"/>
        </w:rPr>
        <w:sectPr w:rsidR="006E5B83" w:rsidSect="004F1904">
          <w:footerReference w:type="first" r:id="rId27"/>
          <w:pgSz w:w="12240" w:h="15840" w:code="1"/>
          <w:pgMar w:top="720" w:right="720" w:bottom="720" w:left="720" w:header="720" w:footer="720" w:gutter="0"/>
          <w:cols w:space="720"/>
          <w:titlePg/>
          <w:docGrid w:linePitch="360"/>
        </w:sectPr>
      </w:pPr>
    </w:p>
    <w:p w14:paraId="20181A88" w14:textId="77777777" w:rsidR="00002E2D" w:rsidRPr="00DC71B0" w:rsidRDefault="00002E2D" w:rsidP="00C006D6">
      <w:pPr>
        <w:pStyle w:val="HeadLevel1"/>
        <w:outlineLvl w:val="0"/>
      </w:pPr>
      <w:r w:rsidRPr="00DC71B0">
        <w:lastRenderedPageBreak/>
        <w:t>Process Heater/Furnace Attributes</w:t>
      </w:r>
    </w:p>
    <w:p w14:paraId="57BE9112" w14:textId="77777777" w:rsidR="00002E2D" w:rsidRPr="00DC71B0" w:rsidRDefault="00002E2D" w:rsidP="00C006D6">
      <w:pPr>
        <w:pStyle w:val="HeadLevel1"/>
        <w:outlineLvl w:val="0"/>
      </w:pPr>
      <w:r w:rsidRPr="00DC71B0">
        <w:t>Form OP-UA5 (Page 1)</w:t>
      </w:r>
    </w:p>
    <w:p w14:paraId="44D04C2F" w14:textId="77777777" w:rsidR="00002E2D" w:rsidRPr="00DC71B0" w:rsidRDefault="00002E2D" w:rsidP="00C006D6">
      <w:pPr>
        <w:pStyle w:val="HeadLevel1"/>
        <w:outlineLvl w:val="0"/>
      </w:pPr>
      <w:r w:rsidRPr="00DC71B0">
        <w:t>Federal Operating Permit Program</w:t>
      </w:r>
    </w:p>
    <w:p w14:paraId="06078F74" w14:textId="77777777" w:rsidR="00002E2D" w:rsidRPr="00DC71B0" w:rsidRDefault="00002E2D" w:rsidP="00C006D6">
      <w:pPr>
        <w:pStyle w:val="HeadLevel1"/>
        <w:outlineLvl w:val="0"/>
      </w:pPr>
      <w:bookmarkStart w:id="35" w:name="TBL1a"/>
      <w:r w:rsidRPr="00DC71B0">
        <w:t>Table 1a</w:t>
      </w:r>
      <w:bookmarkEnd w:id="35"/>
      <w:r w:rsidRPr="00DC71B0">
        <w:t>: Title 30 Texas Administrative Code Chapter 117 (30 TAC Chapter 117)</w:t>
      </w:r>
    </w:p>
    <w:p w14:paraId="6B170997" w14:textId="77777777" w:rsidR="00002E2D" w:rsidRPr="00DC71B0" w:rsidRDefault="00002E2D" w:rsidP="00C006D6">
      <w:pPr>
        <w:pStyle w:val="HeadLevel1"/>
        <w:outlineLvl w:val="0"/>
      </w:pPr>
      <w:r w:rsidRPr="00DC71B0">
        <w:t xml:space="preserve">Subchapter B: Combustion Control at Major Industrial, Commercial, and </w:t>
      </w:r>
    </w:p>
    <w:p w14:paraId="6DD7C563" w14:textId="5C6CF662" w:rsidR="00002E2D" w:rsidRDefault="00002E2D" w:rsidP="00C006D6">
      <w:pPr>
        <w:pStyle w:val="HeadLevel1"/>
        <w:outlineLvl w:val="0"/>
      </w:pPr>
      <w:r w:rsidRPr="00DC71B0">
        <w:t>Institutional Sources in Ozone Nonattainment Areas, Process Heaters</w:t>
      </w:r>
    </w:p>
    <w:p w14:paraId="16ED73BE" w14:textId="77777777" w:rsidR="008630F3" w:rsidRPr="00DC71B0" w:rsidRDefault="008630F3" w:rsidP="00C006D6">
      <w:pPr>
        <w:pStyle w:val="HeadLevel1"/>
        <w:outlineLvl w:val="0"/>
      </w:pPr>
      <w:r w:rsidRPr="00DC71B0">
        <w:t>Texas Commission on Environmental Quality</w:t>
      </w:r>
    </w:p>
    <w:p w14:paraId="09BC5796" w14:textId="77777777" w:rsidR="006C2FB6" w:rsidRDefault="006C2FB6" w:rsidP="000D5197">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30 Texas Administrative Code Chapter 117 (30 TAC Chapter 117)&#10;Subchapter B: Combustion Control at Major Industrial, Commercial, and &#10;Institutional Sources in Ozone Nonattainment Areas, Process Heaters&#10;&#10;"/>
      </w:tblPr>
      <w:tblGrid>
        <w:gridCol w:w="4800"/>
        <w:gridCol w:w="4800"/>
        <w:gridCol w:w="4800"/>
      </w:tblGrid>
      <w:tr w:rsidR="008630F3" w:rsidRPr="00756A95" w14:paraId="3035B147" w14:textId="77777777" w:rsidTr="00F263FF">
        <w:trPr>
          <w:cantSplit/>
          <w:tblHeader/>
        </w:trPr>
        <w:tc>
          <w:tcPr>
            <w:tcW w:w="4800" w:type="dxa"/>
            <w:shd w:val="clear" w:color="auto" w:fill="D9D9D9" w:themeFill="background1" w:themeFillShade="D9"/>
          </w:tcPr>
          <w:p w14:paraId="65D7484B" w14:textId="77777777" w:rsidR="008630F3" w:rsidRPr="00756A95" w:rsidRDefault="008630F3"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0EFD6560" w14:textId="77777777" w:rsidR="008630F3" w:rsidRPr="00756A95" w:rsidRDefault="008630F3"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2A26DE95" w14:textId="77777777" w:rsidR="008630F3" w:rsidRPr="00756A95" w:rsidRDefault="008630F3" w:rsidP="00F263FF">
            <w:pPr>
              <w:jc w:val="center"/>
              <w:rPr>
                <w:rFonts w:cs="Times New Roman"/>
                <w:b/>
                <w:bCs/>
                <w:sz w:val="20"/>
                <w:szCs w:val="20"/>
              </w:rPr>
            </w:pPr>
            <w:r w:rsidRPr="00756A95">
              <w:rPr>
                <w:rFonts w:cs="Times New Roman"/>
                <w:b/>
                <w:bCs/>
                <w:sz w:val="20"/>
                <w:szCs w:val="20"/>
              </w:rPr>
              <w:t>Regulated Entity No.</w:t>
            </w:r>
          </w:p>
        </w:tc>
      </w:tr>
      <w:tr w:rsidR="008630F3" w14:paraId="62A9A065" w14:textId="77777777" w:rsidTr="00F263FF">
        <w:trPr>
          <w:cantSplit/>
          <w:tblHeader/>
        </w:trPr>
        <w:tc>
          <w:tcPr>
            <w:tcW w:w="4800" w:type="dxa"/>
          </w:tcPr>
          <w:p w14:paraId="16DEBEA5" w14:textId="77777777" w:rsidR="008630F3" w:rsidRDefault="008630F3" w:rsidP="00F263FF">
            <w:pPr>
              <w:rPr>
                <w:rFonts w:asciiTheme="majorHAnsi" w:hAnsiTheme="majorHAnsi" w:cstheme="majorHAnsi"/>
              </w:rPr>
            </w:pPr>
          </w:p>
        </w:tc>
        <w:tc>
          <w:tcPr>
            <w:tcW w:w="4800" w:type="dxa"/>
          </w:tcPr>
          <w:p w14:paraId="7A448F36" w14:textId="77777777" w:rsidR="008630F3" w:rsidRDefault="008630F3" w:rsidP="00F263FF">
            <w:pPr>
              <w:rPr>
                <w:rFonts w:asciiTheme="majorHAnsi" w:hAnsiTheme="majorHAnsi" w:cstheme="majorHAnsi"/>
              </w:rPr>
            </w:pPr>
          </w:p>
        </w:tc>
        <w:tc>
          <w:tcPr>
            <w:tcW w:w="4800" w:type="dxa"/>
          </w:tcPr>
          <w:p w14:paraId="33371190" w14:textId="77777777" w:rsidR="008630F3" w:rsidRDefault="008630F3" w:rsidP="00F263FF">
            <w:pPr>
              <w:rPr>
                <w:rFonts w:asciiTheme="majorHAnsi" w:hAnsiTheme="majorHAnsi" w:cstheme="majorHAnsi"/>
              </w:rPr>
            </w:pPr>
          </w:p>
        </w:tc>
      </w:tr>
    </w:tbl>
    <w:p w14:paraId="3A415CFE" w14:textId="519F1AB1" w:rsidR="008630F3" w:rsidRDefault="008630F3" w:rsidP="002A609A">
      <w:pPr>
        <w:pStyle w:val="APDTABLE1"/>
        <w:rPr>
          <w:rFonts w:asciiTheme="majorHAnsi" w:hAnsiTheme="majorHAnsi" w:cstheme="majorHAnsi"/>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Title 30 Texas Administrative Code Chapter 117 (30 TAC Chapter 117)&#10;Subchapter B: Combustion Control at Major Industrial, Commercial, and &#10;Institutional Sources in Ozone Nonattainment Areas, Process Heaters&#10;"/>
      </w:tblPr>
      <w:tblGrid>
        <w:gridCol w:w="1147"/>
        <w:gridCol w:w="1170"/>
        <w:gridCol w:w="1003"/>
        <w:gridCol w:w="1108"/>
        <w:gridCol w:w="1108"/>
        <w:gridCol w:w="1281"/>
        <w:gridCol w:w="1050"/>
        <w:gridCol w:w="1050"/>
        <w:gridCol w:w="1051"/>
        <w:gridCol w:w="989"/>
        <w:gridCol w:w="1227"/>
        <w:gridCol w:w="933"/>
        <w:gridCol w:w="1283"/>
      </w:tblGrid>
      <w:tr w:rsidR="00484AB8" w:rsidRPr="000F6684" w14:paraId="2717BB43" w14:textId="77777777" w:rsidTr="000F6684">
        <w:trPr>
          <w:cantSplit/>
          <w:tblHeader/>
          <w:jc w:val="center"/>
        </w:trPr>
        <w:tc>
          <w:tcPr>
            <w:tcW w:w="1147" w:type="dxa"/>
            <w:tcBorders>
              <w:top w:val="double" w:sz="6" w:space="0" w:color="auto"/>
              <w:bottom w:val="single" w:sz="6" w:space="0" w:color="auto"/>
            </w:tcBorders>
            <w:shd w:val="clear" w:color="auto" w:fill="D9D9D9" w:themeFill="background1" w:themeFillShade="D9"/>
            <w:vAlign w:val="center"/>
          </w:tcPr>
          <w:p w14:paraId="07D4BE8C" w14:textId="671CF3AD" w:rsidR="00484AB8" w:rsidRPr="000F6684" w:rsidRDefault="00484AB8" w:rsidP="00484AB8">
            <w:pPr>
              <w:pStyle w:val="APDTABLE1"/>
              <w:jc w:val="center"/>
              <w:rPr>
                <w:rFonts w:asciiTheme="majorHAnsi" w:hAnsiTheme="majorHAnsi" w:cstheme="majorHAnsi"/>
                <w:sz w:val="20"/>
                <w:szCs w:val="20"/>
              </w:rPr>
            </w:pPr>
            <w:r w:rsidRPr="000F6684">
              <w:rPr>
                <w:sz w:val="20"/>
                <w:szCs w:val="20"/>
              </w:rPr>
              <w:t>Unit ID No.</w:t>
            </w:r>
          </w:p>
        </w:tc>
        <w:tc>
          <w:tcPr>
            <w:tcW w:w="1170" w:type="dxa"/>
            <w:tcBorders>
              <w:top w:val="double" w:sz="6" w:space="0" w:color="auto"/>
              <w:bottom w:val="single" w:sz="6" w:space="0" w:color="auto"/>
            </w:tcBorders>
            <w:shd w:val="clear" w:color="auto" w:fill="D9D9D9" w:themeFill="background1" w:themeFillShade="D9"/>
            <w:vAlign w:val="center"/>
          </w:tcPr>
          <w:p w14:paraId="079EC160" w14:textId="5CBD3014" w:rsidR="00484AB8" w:rsidRPr="000F6684" w:rsidRDefault="00484AB8" w:rsidP="00484AB8">
            <w:pPr>
              <w:pStyle w:val="APDTABLE1"/>
              <w:jc w:val="center"/>
              <w:rPr>
                <w:rFonts w:asciiTheme="majorHAnsi" w:hAnsiTheme="majorHAnsi" w:cstheme="majorHAnsi"/>
                <w:sz w:val="20"/>
                <w:szCs w:val="20"/>
              </w:rPr>
            </w:pPr>
            <w:r w:rsidRPr="000F6684">
              <w:rPr>
                <w:sz w:val="20"/>
                <w:szCs w:val="20"/>
              </w:rPr>
              <w:t>SOP/GOP Index No.</w:t>
            </w:r>
          </w:p>
        </w:tc>
        <w:tc>
          <w:tcPr>
            <w:tcW w:w="1003" w:type="dxa"/>
            <w:tcBorders>
              <w:top w:val="double" w:sz="6" w:space="0" w:color="auto"/>
              <w:bottom w:val="single" w:sz="6" w:space="0" w:color="auto"/>
            </w:tcBorders>
            <w:shd w:val="clear" w:color="auto" w:fill="D9D9D9" w:themeFill="background1" w:themeFillShade="D9"/>
            <w:vAlign w:val="center"/>
          </w:tcPr>
          <w:p w14:paraId="706D4269" w14:textId="60EA4F3F" w:rsidR="00484AB8" w:rsidRPr="000F6684" w:rsidRDefault="00484AB8" w:rsidP="00484AB8">
            <w:pPr>
              <w:pStyle w:val="APDTABLE1"/>
              <w:jc w:val="center"/>
              <w:rPr>
                <w:rFonts w:asciiTheme="majorHAnsi" w:hAnsiTheme="majorHAnsi" w:cstheme="majorHAnsi"/>
                <w:sz w:val="20"/>
                <w:szCs w:val="20"/>
              </w:rPr>
            </w:pPr>
            <w:r w:rsidRPr="000F6684">
              <w:rPr>
                <w:sz w:val="20"/>
                <w:szCs w:val="20"/>
              </w:rPr>
              <w:t>Unit Type</w:t>
            </w:r>
          </w:p>
        </w:tc>
        <w:tc>
          <w:tcPr>
            <w:tcW w:w="1108" w:type="dxa"/>
            <w:tcBorders>
              <w:top w:val="double" w:sz="6" w:space="0" w:color="auto"/>
              <w:bottom w:val="single" w:sz="6" w:space="0" w:color="auto"/>
            </w:tcBorders>
            <w:shd w:val="clear" w:color="auto" w:fill="D9D9D9" w:themeFill="background1" w:themeFillShade="D9"/>
            <w:vAlign w:val="center"/>
          </w:tcPr>
          <w:p w14:paraId="2A999B60" w14:textId="17EF17E1" w:rsidR="00484AB8" w:rsidRPr="000F6684" w:rsidRDefault="00484AB8" w:rsidP="00484AB8">
            <w:pPr>
              <w:pStyle w:val="APDTABLE1"/>
              <w:jc w:val="center"/>
              <w:rPr>
                <w:rFonts w:asciiTheme="majorHAnsi" w:hAnsiTheme="majorHAnsi" w:cstheme="majorHAnsi"/>
                <w:sz w:val="20"/>
                <w:szCs w:val="20"/>
              </w:rPr>
            </w:pPr>
            <w:r w:rsidRPr="000F6684">
              <w:rPr>
                <w:sz w:val="20"/>
                <w:szCs w:val="20"/>
              </w:rPr>
              <w:t>Maximum Rated Capacity</w:t>
            </w:r>
          </w:p>
        </w:tc>
        <w:tc>
          <w:tcPr>
            <w:tcW w:w="1108" w:type="dxa"/>
            <w:tcBorders>
              <w:top w:val="double" w:sz="6" w:space="0" w:color="auto"/>
              <w:bottom w:val="single" w:sz="6" w:space="0" w:color="auto"/>
            </w:tcBorders>
            <w:shd w:val="clear" w:color="auto" w:fill="D9D9D9" w:themeFill="background1" w:themeFillShade="D9"/>
            <w:vAlign w:val="center"/>
          </w:tcPr>
          <w:p w14:paraId="61EA74A2" w14:textId="4A73CD1B" w:rsidR="00484AB8" w:rsidRPr="000F6684" w:rsidRDefault="00484AB8" w:rsidP="00484AB8">
            <w:pPr>
              <w:pStyle w:val="APDTABLE1"/>
              <w:jc w:val="center"/>
              <w:rPr>
                <w:rFonts w:asciiTheme="majorHAnsi" w:hAnsiTheme="majorHAnsi" w:cstheme="majorHAnsi"/>
                <w:sz w:val="20"/>
                <w:szCs w:val="20"/>
              </w:rPr>
            </w:pPr>
            <w:r w:rsidRPr="000F6684">
              <w:rPr>
                <w:sz w:val="20"/>
                <w:szCs w:val="20"/>
              </w:rPr>
              <w:t>RACT Date Placed in Service</w:t>
            </w:r>
          </w:p>
        </w:tc>
        <w:tc>
          <w:tcPr>
            <w:tcW w:w="1281" w:type="dxa"/>
            <w:tcBorders>
              <w:top w:val="double" w:sz="6" w:space="0" w:color="auto"/>
              <w:bottom w:val="single" w:sz="6" w:space="0" w:color="auto"/>
            </w:tcBorders>
            <w:shd w:val="clear" w:color="auto" w:fill="D9D9D9" w:themeFill="background1" w:themeFillShade="D9"/>
            <w:vAlign w:val="center"/>
          </w:tcPr>
          <w:p w14:paraId="7A8964FB" w14:textId="579071C1" w:rsidR="00484AB8" w:rsidRPr="000F6684" w:rsidRDefault="00484AB8" w:rsidP="00484AB8">
            <w:pPr>
              <w:pStyle w:val="APDTABLE1"/>
              <w:jc w:val="center"/>
              <w:rPr>
                <w:rFonts w:asciiTheme="majorHAnsi" w:hAnsiTheme="majorHAnsi" w:cstheme="majorHAnsi"/>
                <w:sz w:val="20"/>
                <w:szCs w:val="20"/>
              </w:rPr>
            </w:pPr>
            <w:r w:rsidRPr="000F6684">
              <w:rPr>
                <w:sz w:val="20"/>
                <w:szCs w:val="20"/>
              </w:rPr>
              <w:t>Functionally Identical Replacement</w:t>
            </w:r>
          </w:p>
        </w:tc>
        <w:tc>
          <w:tcPr>
            <w:tcW w:w="1050" w:type="dxa"/>
            <w:tcBorders>
              <w:top w:val="double" w:sz="6" w:space="0" w:color="auto"/>
              <w:bottom w:val="single" w:sz="6" w:space="0" w:color="auto"/>
              <w:right w:val="nil"/>
            </w:tcBorders>
            <w:shd w:val="clear" w:color="auto" w:fill="D9D9D9" w:themeFill="background1" w:themeFillShade="D9"/>
          </w:tcPr>
          <w:p w14:paraId="03F3F43D" w14:textId="7D4DF171" w:rsidR="00484AB8" w:rsidRPr="000F6684" w:rsidRDefault="00484AB8" w:rsidP="00484AB8">
            <w:pPr>
              <w:pStyle w:val="APDTABLE1"/>
              <w:jc w:val="right"/>
              <w:rPr>
                <w:rFonts w:asciiTheme="majorHAnsi" w:hAnsiTheme="majorHAnsi" w:cstheme="majorHAnsi"/>
                <w:sz w:val="20"/>
                <w:szCs w:val="20"/>
              </w:rPr>
            </w:pPr>
            <w:r>
              <w:rPr>
                <w:rFonts w:asciiTheme="majorHAnsi" w:hAnsiTheme="majorHAnsi" w:cstheme="majorHAnsi"/>
                <w:sz w:val="20"/>
                <w:szCs w:val="20"/>
              </w:rPr>
              <w:t>Fuel</w:t>
            </w:r>
          </w:p>
        </w:tc>
        <w:tc>
          <w:tcPr>
            <w:tcW w:w="1050" w:type="dxa"/>
            <w:tcBorders>
              <w:top w:val="double" w:sz="6" w:space="0" w:color="auto"/>
              <w:left w:val="nil"/>
              <w:bottom w:val="single" w:sz="6" w:space="0" w:color="auto"/>
              <w:right w:val="nil"/>
            </w:tcBorders>
            <w:shd w:val="clear" w:color="auto" w:fill="D9D9D9" w:themeFill="background1" w:themeFillShade="D9"/>
          </w:tcPr>
          <w:p w14:paraId="40ED6FCC" w14:textId="323475A9" w:rsidR="00484AB8" w:rsidRPr="000F6684" w:rsidRDefault="00484AB8" w:rsidP="00484AB8">
            <w:pPr>
              <w:pStyle w:val="APDTABLE1"/>
              <w:rPr>
                <w:rFonts w:asciiTheme="majorHAnsi" w:hAnsiTheme="majorHAnsi" w:cstheme="majorHAnsi"/>
                <w:sz w:val="20"/>
                <w:szCs w:val="20"/>
              </w:rPr>
            </w:pPr>
            <w:r>
              <w:rPr>
                <w:rFonts w:asciiTheme="majorHAnsi" w:hAnsiTheme="majorHAnsi" w:cstheme="majorHAnsi"/>
                <w:sz w:val="20"/>
                <w:szCs w:val="20"/>
              </w:rPr>
              <w:t>Type(s)</w:t>
            </w:r>
          </w:p>
        </w:tc>
        <w:tc>
          <w:tcPr>
            <w:tcW w:w="1051" w:type="dxa"/>
            <w:tcBorders>
              <w:top w:val="double" w:sz="6" w:space="0" w:color="auto"/>
              <w:left w:val="nil"/>
              <w:bottom w:val="single" w:sz="6" w:space="0" w:color="auto"/>
            </w:tcBorders>
            <w:shd w:val="clear" w:color="auto" w:fill="D9D9D9" w:themeFill="background1" w:themeFillShade="D9"/>
          </w:tcPr>
          <w:p w14:paraId="6FE6C251" w14:textId="18386684" w:rsidR="00484AB8" w:rsidRPr="000F6684" w:rsidRDefault="00484AB8" w:rsidP="00484AB8">
            <w:pPr>
              <w:pStyle w:val="APDTABLE1"/>
              <w:rPr>
                <w:rFonts w:asciiTheme="majorHAnsi" w:hAnsiTheme="majorHAnsi" w:cstheme="majorHAnsi"/>
                <w:sz w:val="20"/>
                <w:szCs w:val="20"/>
              </w:rPr>
            </w:pPr>
          </w:p>
        </w:tc>
        <w:tc>
          <w:tcPr>
            <w:tcW w:w="989" w:type="dxa"/>
            <w:tcBorders>
              <w:top w:val="double" w:sz="6" w:space="0" w:color="auto"/>
              <w:bottom w:val="single" w:sz="6" w:space="0" w:color="auto"/>
            </w:tcBorders>
            <w:shd w:val="clear" w:color="auto" w:fill="D9D9D9" w:themeFill="background1" w:themeFillShade="D9"/>
            <w:vAlign w:val="center"/>
          </w:tcPr>
          <w:p w14:paraId="02B99C22" w14:textId="3C5F9A62" w:rsidR="00484AB8" w:rsidRPr="000F6684" w:rsidRDefault="00484AB8" w:rsidP="00484AB8">
            <w:pPr>
              <w:pStyle w:val="APDTABLE1"/>
              <w:jc w:val="center"/>
              <w:rPr>
                <w:rFonts w:asciiTheme="majorHAnsi" w:hAnsiTheme="majorHAnsi" w:cstheme="majorHAnsi"/>
                <w:sz w:val="20"/>
                <w:szCs w:val="20"/>
              </w:rPr>
            </w:pPr>
            <w:r w:rsidRPr="000F6684">
              <w:rPr>
                <w:sz w:val="20"/>
                <w:szCs w:val="20"/>
              </w:rPr>
              <w:t>Annual Heat Input</w:t>
            </w:r>
          </w:p>
        </w:tc>
        <w:tc>
          <w:tcPr>
            <w:tcW w:w="1227" w:type="dxa"/>
            <w:tcBorders>
              <w:top w:val="double" w:sz="6" w:space="0" w:color="auto"/>
              <w:bottom w:val="single" w:sz="6" w:space="0" w:color="auto"/>
            </w:tcBorders>
            <w:shd w:val="clear" w:color="auto" w:fill="D9D9D9" w:themeFill="background1" w:themeFillShade="D9"/>
            <w:vAlign w:val="center"/>
          </w:tcPr>
          <w:p w14:paraId="25A77DD3" w14:textId="3AB27DB0" w:rsidR="00484AB8" w:rsidRPr="000F6684" w:rsidRDefault="00484AB8" w:rsidP="00484AB8">
            <w:pPr>
              <w:pStyle w:val="APDTABLE1"/>
              <w:jc w:val="center"/>
              <w:rPr>
                <w:rFonts w:asciiTheme="majorHAnsi" w:hAnsiTheme="majorHAnsi" w:cstheme="majorHAnsi"/>
                <w:sz w:val="20"/>
                <w:szCs w:val="20"/>
              </w:rPr>
            </w:pPr>
            <w:r w:rsidRPr="000F6684">
              <w:rPr>
                <w:sz w:val="20"/>
                <w:szCs w:val="20"/>
              </w:rPr>
              <w:t>NOx Emission Limitation</w:t>
            </w:r>
          </w:p>
        </w:tc>
        <w:tc>
          <w:tcPr>
            <w:tcW w:w="933" w:type="dxa"/>
            <w:tcBorders>
              <w:top w:val="double" w:sz="6" w:space="0" w:color="auto"/>
              <w:bottom w:val="single" w:sz="6" w:space="0" w:color="auto"/>
            </w:tcBorders>
            <w:shd w:val="clear" w:color="auto" w:fill="D9D9D9" w:themeFill="background1" w:themeFillShade="D9"/>
            <w:vAlign w:val="center"/>
          </w:tcPr>
          <w:p w14:paraId="2592C758" w14:textId="6C8CABD7" w:rsidR="00484AB8" w:rsidRPr="000F6684" w:rsidRDefault="00484AB8" w:rsidP="00484AB8">
            <w:pPr>
              <w:pStyle w:val="APDTABLE1"/>
              <w:jc w:val="center"/>
              <w:rPr>
                <w:rFonts w:asciiTheme="majorHAnsi" w:hAnsiTheme="majorHAnsi" w:cstheme="majorHAnsi"/>
                <w:sz w:val="20"/>
                <w:szCs w:val="20"/>
              </w:rPr>
            </w:pPr>
            <w:r w:rsidRPr="000F6684">
              <w:rPr>
                <w:sz w:val="20"/>
                <w:szCs w:val="20"/>
              </w:rPr>
              <w:t>Opt-In Unit</w:t>
            </w:r>
          </w:p>
        </w:tc>
        <w:tc>
          <w:tcPr>
            <w:tcW w:w="1283" w:type="dxa"/>
            <w:tcBorders>
              <w:top w:val="double" w:sz="6" w:space="0" w:color="auto"/>
              <w:bottom w:val="single" w:sz="6" w:space="0" w:color="auto"/>
            </w:tcBorders>
            <w:shd w:val="clear" w:color="auto" w:fill="D9D9D9" w:themeFill="background1" w:themeFillShade="D9"/>
            <w:vAlign w:val="center"/>
          </w:tcPr>
          <w:p w14:paraId="0AF65496" w14:textId="6BA94E50" w:rsidR="00484AB8" w:rsidRPr="000F6684" w:rsidRDefault="00484AB8" w:rsidP="00484AB8">
            <w:pPr>
              <w:pStyle w:val="APDTABLE1"/>
              <w:jc w:val="center"/>
              <w:rPr>
                <w:rFonts w:asciiTheme="majorHAnsi" w:hAnsiTheme="majorHAnsi" w:cstheme="majorHAnsi"/>
                <w:sz w:val="20"/>
                <w:szCs w:val="20"/>
              </w:rPr>
            </w:pPr>
            <w:r w:rsidRPr="000F6684">
              <w:rPr>
                <w:sz w:val="20"/>
                <w:szCs w:val="20"/>
              </w:rPr>
              <w:t>23C-Option</w:t>
            </w:r>
          </w:p>
        </w:tc>
      </w:tr>
      <w:tr w:rsidR="008630F3" w14:paraId="2093C737" w14:textId="77777777" w:rsidTr="000F6684">
        <w:trPr>
          <w:cantSplit/>
          <w:tblHeader/>
          <w:jc w:val="center"/>
        </w:trPr>
        <w:tc>
          <w:tcPr>
            <w:tcW w:w="1147" w:type="dxa"/>
            <w:tcBorders>
              <w:top w:val="single" w:sz="6" w:space="0" w:color="auto"/>
              <w:bottom w:val="single" w:sz="6" w:space="0" w:color="auto"/>
            </w:tcBorders>
          </w:tcPr>
          <w:p w14:paraId="5477B8BA"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0FF6AB0A"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050C4E97"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442FB3EC"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75163FFE"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71A1FC9D"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6E651149"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36552045"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7AC3CF8E"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44FE6848"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6EF368FF"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0B0FEC7C"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7CF00F9C" w14:textId="77777777" w:rsidR="008630F3" w:rsidRDefault="008630F3" w:rsidP="002A609A">
            <w:pPr>
              <w:pStyle w:val="APDTABLE1"/>
              <w:rPr>
                <w:rFonts w:asciiTheme="majorHAnsi" w:hAnsiTheme="majorHAnsi" w:cstheme="majorHAnsi"/>
              </w:rPr>
            </w:pPr>
          </w:p>
        </w:tc>
      </w:tr>
      <w:tr w:rsidR="008630F3" w14:paraId="5B08FDFB" w14:textId="77777777" w:rsidTr="000F6684">
        <w:trPr>
          <w:cantSplit/>
          <w:tblHeader/>
          <w:jc w:val="center"/>
        </w:trPr>
        <w:tc>
          <w:tcPr>
            <w:tcW w:w="1147" w:type="dxa"/>
            <w:tcBorders>
              <w:top w:val="single" w:sz="6" w:space="0" w:color="auto"/>
              <w:bottom w:val="single" w:sz="6" w:space="0" w:color="auto"/>
            </w:tcBorders>
          </w:tcPr>
          <w:p w14:paraId="604E400D"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34FC1FF8"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4763407D"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45ADDB9E"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39CF1EEE"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59E264D4"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5D430715"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6F73AA4F"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4359984D"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5F34A8B3"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0238B5FF"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54AA9861"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2FA4A98B" w14:textId="77777777" w:rsidR="008630F3" w:rsidRDefault="008630F3" w:rsidP="002A609A">
            <w:pPr>
              <w:pStyle w:val="APDTABLE1"/>
              <w:rPr>
                <w:rFonts w:asciiTheme="majorHAnsi" w:hAnsiTheme="majorHAnsi" w:cstheme="majorHAnsi"/>
              </w:rPr>
            </w:pPr>
          </w:p>
        </w:tc>
      </w:tr>
      <w:tr w:rsidR="008630F3" w14:paraId="46D314CF" w14:textId="77777777" w:rsidTr="000F6684">
        <w:trPr>
          <w:cantSplit/>
          <w:tblHeader/>
          <w:jc w:val="center"/>
        </w:trPr>
        <w:tc>
          <w:tcPr>
            <w:tcW w:w="1147" w:type="dxa"/>
            <w:tcBorders>
              <w:top w:val="single" w:sz="6" w:space="0" w:color="auto"/>
              <w:bottom w:val="single" w:sz="6" w:space="0" w:color="auto"/>
            </w:tcBorders>
          </w:tcPr>
          <w:p w14:paraId="030460C7"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5A01568F"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0062827F"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5E3504BF"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3303FF96"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3B70EA72"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75DEDFCB"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023C5A6C"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60659575"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34239A80"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54EAE7AE"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52C6ED7B"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34915769" w14:textId="77777777" w:rsidR="008630F3" w:rsidRDefault="008630F3" w:rsidP="002A609A">
            <w:pPr>
              <w:pStyle w:val="APDTABLE1"/>
              <w:rPr>
                <w:rFonts w:asciiTheme="majorHAnsi" w:hAnsiTheme="majorHAnsi" w:cstheme="majorHAnsi"/>
              </w:rPr>
            </w:pPr>
          </w:p>
        </w:tc>
      </w:tr>
      <w:tr w:rsidR="008630F3" w14:paraId="2802DA3A" w14:textId="77777777" w:rsidTr="000F6684">
        <w:trPr>
          <w:cantSplit/>
          <w:tblHeader/>
          <w:jc w:val="center"/>
        </w:trPr>
        <w:tc>
          <w:tcPr>
            <w:tcW w:w="1147" w:type="dxa"/>
            <w:tcBorders>
              <w:top w:val="single" w:sz="6" w:space="0" w:color="auto"/>
              <w:bottom w:val="single" w:sz="6" w:space="0" w:color="auto"/>
            </w:tcBorders>
          </w:tcPr>
          <w:p w14:paraId="2AD235D9"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5D6887D8"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0E304449"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6CB85DB0"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77EF197A"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2AB156EE"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7060BACE"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49EB6294"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6631976A"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178A9A92"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3B589D72"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519CE00D"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0A4C3110" w14:textId="77777777" w:rsidR="008630F3" w:rsidRDefault="008630F3" w:rsidP="002A609A">
            <w:pPr>
              <w:pStyle w:val="APDTABLE1"/>
              <w:rPr>
                <w:rFonts w:asciiTheme="majorHAnsi" w:hAnsiTheme="majorHAnsi" w:cstheme="majorHAnsi"/>
              </w:rPr>
            </w:pPr>
          </w:p>
        </w:tc>
      </w:tr>
      <w:tr w:rsidR="008630F3" w14:paraId="22FB2634" w14:textId="77777777" w:rsidTr="000F6684">
        <w:trPr>
          <w:cantSplit/>
          <w:tblHeader/>
          <w:jc w:val="center"/>
        </w:trPr>
        <w:tc>
          <w:tcPr>
            <w:tcW w:w="1147" w:type="dxa"/>
            <w:tcBorders>
              <w:top w:val="single" w:sz="6" w:space="0" w:color="auto"/>
              <w:bottom w:val="single" w:sz="6" w:space="0" w:color="auto"/>
            </w:tcBorders>
          </w:tcPr>
          <w:p w14:paraId="107AAB61"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4D0D6694"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16251A67"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2872A4B5"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51256B93"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239CCC9B"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516226DB"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3D798383"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79B71E44"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01110334"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04B495F8"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1EEA07CA"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1339944E" w14:textId="77777777" w:rsidR="008630F3" w:rsidRDefault="008630F3" w:rsidP="002A609A">
            <w:pPr>
              <w:pStyle w:val="APDTABLE1"/>
              <w:rPr>
                <w:rFonts w:asciiTheme="majorHAnsi" w:hAnsiTheme="majorHAnsi" w:cstheme="majorHAnsi"/>
              </w:rPr>
            </w:pPr>
          </w:p>
        </w:tc>
      </w:tr>
      <w:tr w:rsidR="008630F3" w14:paraId="12152A37" w14:textId="77777777" w:rsidTr="000F6684">
        <w:trPr>
          <w:cantSplit/>
          <w:tblHeader/>
          <w:jc w:val="center"/>
        </w:trPr>
        <w:tc>
          <w:tcPr>
            <w:tcW w:w="1147" w:type="dxa"/>
            <w:tcBorders>
              <w:top w:val="single" w:sz="6" w:space="0" w:color="auto"/>
              <w:bottom w:val="single" w:sz="6" w:space="0" w:color="auto"/>
            </w:tcBorders>
          </w:tcPr>
          <w:p w14:paraId="17F55B05"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3AB17A8A"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45B6C64E"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0FE2691E"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7BE76203"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76A7FD2E"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25A8C3BA"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56696D58"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25949A58"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50F1DF7C"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6A1776C1"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2133BABC"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588F71FF" w14:textId="77777777" w:rsidR="008630F3" w:rsidRDefault="008630F3" w:rsidP="002A609A">
            <w:pPr>
              <w:pStyle w:val="APDTABLE1"/>
              <w:rPr>
                <w:rFonts w:asciiTheme="majorHAnsi" w:hAnsiTheme="majorHAnsi" w:cstheme="majorHAnsi"/>
              </w:rPr>
            </w:pPr>
          </w:p>
        </w:tc>
      </w:tr>
      <w:tr w:rsidR="008630F3" w14:paraId="12C44BC8" w14:textId="77777777" w:rsidTr="000F6684">
        <w:trPr>
          <w:cantSplit/>
          <w:tblHeader/>
          <w:jc w:val="center"/>
        </w:trPr>
        <w:tc>
          <w:tcPr>
            <w:tcW w:w="1147" w:type="dxa"/>
            <w:tcBorders>
              <w:top w:val="single" w:sz="6" w:space="0" w:color="auto"/>
              <w:bottom w:val="single" w:sz="6" w:space="0" w:color="auto"/>
            </w:tcBorders>
          </w:tcPr>
          <w:p w14:paraId="51014D02"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39F41514"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63D96174"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257C7A08"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3362450C"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5BFFA36A"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792D1357"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514BD7C8"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65A1F224"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10D32ACB"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101D6DD0"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540A83A7"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32697543" w14:textId="77777777" w:rsidR="008630F3" w:rsidRDefault="008630F3" w:rsidP="002A609A">
            <w:pPr>
              <w:pStyle w:val="APDTABLE1"/>
              <w:rPr>
                <w:rFonts w:asciiTheme="majorHAnsi" w:hAnsiTheme="majorHAnsi" w:cstheme="majorHAnsi"/>
              </w:rPr>
            </w:pPr>
          </w:p>
        </w:tc>
      </w:tr>
      <w:tr w:rsidR="008630F3" w14:paraId="19E149B9" w14:textId="77777777" w:rsidTr="000F6684">
        <w:trPr>
          <w:cantSplit/>
          <w:tblHeader/>
          <w:jc w:val="center"/>
        </w:trPr>
        <w:tc>
          <w:tcPr>
            <w:tcW w:w="1147" w:type="dxa"/>
            <w:tcBorders>
              <w:top w:val="single" w:sz="6" w:space="0" w:color="auto"/>
              <w:bottom w:val="single" w:sz="6" w:space="0" w:color="auto"/>
            </w:tcBorders>
          </w:tcPr>
          <w:p w14:paraId="0F9BF33A"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6CCEBB0E"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51EAF0C3"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3D23393D"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0B57AF2E"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3DE83F45"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11CFFF74"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7387C042"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39E789E1"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02A157C8"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02B13B5F"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643F6954"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6FB8A6BB" w14:textId="77777777" w:rsidR="008630F3" w:rsidRDefault="008630F3" w:rsidP="002A609A">
            <w:pPr>
              <w:pStyle w:val="APDTABLE1"/>
              <w:rPr>
                <w:rFonts w:asciiTheme="majorHAnsi" w:hAnsiTheme="majorHAnsi" w:cstheme="majorHAnsi"/>
              </w:rPr>
            </w:pPr>
          </w:p>
        </w:tc>
      </w:tr>
      <w:tr w:rsidR="008630F3" w14:paraId="65476E50" w14:textId="77777777" w:rsidTr="000F6684">
        <w:trPr>
          <w:cantSplit/>
          <w:tblHeader/>
          <w:jc w:val="center"/>
        </w:trPr>
        <w:tc>
          <w:tcPr>
            <w:tcW w:w="1147" w:type="dxa"/>
            <w:tcBorders>
              <w:top w:val="single" w:sz="6" w:space="0" w:color="auto"/>
              <w:bottom w:val="single" w:sz="6" w:space="0" w:color="auto"/>
            </w:tcBorders>
          </w:tcPr>
          <w:p w14:paraId="72D6065C"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single" w:sz="6" w:space="0" w:color="auto"/>
            </w:tcBorders>
          </w:tcPr>
          <w:p w14:paraId="17BEF48E"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single" w:sz="6" w:space="0" w:color="auto"/>
            </w:tcBorders>
          </w:tcPr>
          <w:p w14:paraId="13B8AC41"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2EB4E3B9"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single" w:sz="6" w:space="0" w:color="auto"/>
            </w:tcBorders>
          </w:tcPr>
          <w:p w14:paraId="6C910D31"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single" w:sz="6" w:space="0" w:color="auto"/>
            </w:tcBorders>
          </w:tcPr>
          <w:p w14:paraId="13B3FA9A"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7AA1ABB3"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single" w:sz="6" w:space="0" w:color="auto"/>
            </w:tcBorders>
          </w:tcPr>
          <w:p w14:paraId="2744F65A"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single" w:sz="6" w:space="0" w:color="auto"/>
            </w:tcBorders>
          </w:tcPr>
          <w:p w14:paraId="1BABAC25"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single" w:sz="6" w:space="0" w:color="auto"/>
            </w:tcBorders>
          </w:tcPr>
          <w:p w14:paraId="23F7CBEE"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single" w:sz="6" w:space="0" w:color="auto"/>
            </w:tcBorders>
          </w:tcPr>
          <w:p w14:paraId="74571DAF"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single" w:sz="6" w:space="0" w:color="auto"/>
            </w:tcBorders>
          </w:tcPr>
          <w:p w14:paraId="4D1AB391"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single" w:sz="6" w:space="0" w:color="auto"/>
            </w:tcBorders>
          </w:tcPr>
          <w:p w14:paraId="14679839" w14:textId="77777777" w:rsidR="008630F3" w:rsidRDefault="008630F3" w:rsidP="002A609A">
            <w:pPr>
              <w:pStyle w:val="APDTABLE1"/>
              <w:rPr>
                <w:rFonts w:asciiTheme="majorHAnsi" w:hAnsiTheme="majorHAnsi" w:cstheme="majorHAnsi"/>
              </w:rPr>
            </w:pPr>
          </w:p>
        </w:tc>
      </w:tr>
      <w:tr w:rsidR="008630F3" w14:paraId="6AFB4E71" w14:textId="77777777" w:rsidTr="000F6684">
        <w:trPr>
          <w:cantSplit/>
          <w:tblHeader/>
          <w:jc w:val="center"/>
        </w:trPr>
        <w:tc>
          <w:tcPr>
            <w:tcW w:w="1147" w:type="dxa"/>
            <w:tcBorders>
              <w:top w:val="single" w:sz="6" w:space="0" w:color="auto"/>
              <w:bottom w:val="double" w:sz="6" w:space="0" w:color="auto"/>
            </w:tcBorders>
          </w:tcPr>
          <w:p w14:paraId="005FE854" w14:textId="77777777" w:rsidR="008630F3" w:rsidRDefault="008630F3" w:rsidP="002A609A">
            <w:pPr>
              <w:pStyle w:val="APDTABLE1"/>
              <w:rPr>
                <w:rFonts w:asciiTheme="majorHAnsi" w:hAnsiTheme="majorHAnsi" w:cstheme="majorHAnsi"/>
              </w:rPr>
            </w:pPr>
          </w:p>
        </w:tc>
        <w:tc>
          <w:tcPr>
            <w:tcW w:w="1170" w:type="dxa"/>
            <w:tcBorders>
              <w:top w:val="single" w:sz="6" w:space="0" w:color="auto"/>
              <w:bottom w:val="double" w:sz="6" w:space="0" w:color="auto"/>
            </w:tcBorders>
          </w:tcPr>
          <w:p w14:paraId="7A609C41" w14:textId="77777777" w:rsidR="008630F3" w:rsidRDefault="008630F3" w:rsidP="002A609A">
            <w:pPr>
              <w:pStyle w:val="APDTABLE1"/>
              <w:rPr>
                <w:rFonts w:asciiTheme="majorHAnsi" w:hAnsiTheme="majorHAnsi" w:cstheme="majorHAnsi"/>
              </w:rPr>
            </w:pPr>
          </w:p>
        </w:tc>
        <w:tc>
          <w:tcPr>
            <w:tcW w:w="1003" w:type="dxa"/>
            <w:tcBorders>
              <w:top w:val="single" w:sz="6" w:space="0" w:color="auto"/>
              <w:bottom w:val="double" w:sz="6" w:space="0" w:color="auto"/>
            </w:tcBorders>
          </w:tcPr>
          <w:p w14:paraId="67575D3A"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double" w:sz="6" w:space="0" w:color="auto"/>
            </w:tcBorders>
          </w:tcPr>
          <w:p w14:paraId="1DA06CCA" w14:textId="77777777" w:rsidR="008630F3" w:rsidRDefault="008630F3" w:rsidP="002A609A">
            <w:pPr>
              <w:pStyle w:val="APDTABLE1"/>
              <w:rPr>
                <w:rFonts w:asciiTheme="majorHAnsi" w:hAnsiTheme="majorHAnsi" w:cstheme="majorHAnsi"/>
              </w:rPr>
            </w:pPr>
          </w:p>
        </w:tc>
        <w:tc>
          <w:tcPr>
            <w:tcW w:w="1108" w:type="dxa"/>
            <w:tcBorders>
              <w:top w:val="single" w:sz="6" w:space="0" w:color="auto"/>
              <w:bottom w:val="double" w:sz="6" w:space="0" w:color="auto"/>
            </w:tcBorders>
          </w:tcPr>
          <w:p w14:paraId="2E7A3862" w14:textId="77777777" w:rsidR="008630F3" w:rsidRDefault="008630F3" w:rsidP="002A609A">
            <w:pPr>
              <w:pStyle w:val="APDTABLE1"/>
              <w:rPr>
                <w:rFonts w:asciiTheme="majorHAnsi" w:hAnsiTheme="majorHAnsi" w:cstheme="majorHAnsi"/>
              </w:rPr>
            </w:pPr>
          </w:p>
        </w:tc>
        <w:tc>
          <w:tcPr>
            <w:tcW w:w="1281" w:type="dxa"/>
            <w:tcBorders>
              <w:top w:val="single" w:sz="6" w:space="0" w:color="auto"/>
              <w:bottom w:val="double" w:sz="6" w:space="0" w:color="auto"/>
            </w:tcBorders>
          </w:tcPr>
          <w:p w14:paraId="21D1C784"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double" w:sz="6" w:space="0" w:color="auto"/>
            </w:tcBorders>
          </w:tcPr>
          <w:p w14:paraId="07DFEA79" w14:textId="77777777" w:rsidR="008630F3" w:rsidRDefault="008630F3" w:rsidP="002A609A">
            <w:pPr>
              <w:pStyle w:val="APDTABLE1"/>
              <w:rPr>
                <w:rFonts w:asciiTheme="majorHAnsi" w:hAnsiTheme="majorHAnsi" w:cstheme="majorHAnsi"/>
              </w:rPr>
            </w:pPr>
          </w:p>
        </w:tc>
        <w:tc>
          <w:tcPr>
            <w:tcW w:w="1050" w:type="dxa"/>
            <w:tcBorders>
              <w:top w:val="single" w:sz="6" w:space="0" w:color="auto"/>
              <w:bottom w:val="double" w:sz="6" w:space="0" w:color="auto"/>
            </w:tcBorders>
          </w:tcPr>
          <w:p w14:paraId="3432DD6E" w14:textId="77777777" w:rsidR="008630F3" w:rsidRDefault="008630F3" w:rsidP="002A609A">
            <w:pPr>
              <w:pStyle w:val="APDTABLE1"/>
              <w:rPr>
                <w:rFonts w:asciiTheme="majorHAnsi" w:hAnsiTheme="majorHAnsi" w:cstheme="majorHAnsi"/>
              </w:rPr>
            </w:pPr>
          </w:p>
        </w:tc>
        <w:tc>
          <w:tcPr>
            <w:tcW w:w="1051" w:type="dxa"/>
            <w:tcBorders>
              <w:top w:val="single" w:sz="6" w:space="0" w:color="auto"/>
              <w:bottom w:val="double" w:sz="6" w:space="0" w:color="auto"/>
            </w:tcBorders>
          </w:tcPr>
          <w:p w14:paraId="1E6584A7" w14:textId="77777777" w:rsidR="008630F3" w:rsidRDefault="008630F3" w:rsidP="002A609A">
            <w:pPr>
              <w:pStyle w:val="APDTABLE1"/>
              <w:rPr>
                <w:rFonts w:asciiTheme="majorHAnsi" w:hAnsiTheme="majorHAnsi" w:cstheme="majorHAnsi"/>
              </w:rPr>
            </w:pPr>
          </w:p>
        </w:tc>
        <w:tc>
          <w:tcPr>
            <w:tcW w:w="989" w:type="dxa"/>
            <w:tcBorders>
              <w:top w:val="single" w:sz="6" w:space="0" w:color="auto"/>
              <w:bottom w:val="double" w:sz="6" w:space="0" w:color="auto"/>
            </w:tcBorders>
          </w:tcPr>
          <w:p w14:paraId="379EBD48" w14:textId="77777777" w:rsidR="008630F3" w:rsidRDefault="008630F3" w:rsidP="002A609A">
            <w:pPr>
              <w:pStyle w:val="APDTABLE1"/>
              <w:rPr>
                <w:rFonts w:asciiTheme="majorHAnsi" w:hAnsiTheme="majorHAnsi" w:cstheme="majorHAnsi"/>
              </w:rPr>
            </w:pPr>
          </w:p>
        </w:tc>
        <w:tc>
          <w:tcPr>
            <w:tcW w:w="1227" w:type="dxa"/>
            <w:tcBorders>
              <w:top w:val="single" w:sz="6" w:space="0" w:color="auto"/>
              <w:bottom w:val="double" w:sz="6" w:space="0" w:color="auto"/>
            </w:tcBorders>
          </w:tcPr>
          <w:p w14:paraId="5FD038FD" w14:textId="77777777" w:rsidR="008630F3" w:rsidRDefault="008630F3" w:rsidP="002A609A">
            <w:pPr>
              <w:pStyle w:val="APDTABLE1"/>
              <w:rPr>
                <w:rFonts w:asciiTheme="majorHAnsi" w:hAnsiTheme="majorHAnsi" w:cstheme="majorHAnsi"/>
              </w:rPr>
            </w:pPr>
          </w:p>
        </w:tc>
        <w:tc>
          <w:tcPr>
            <w:tcW w:w="933" w:type="dxa"/>
            <w:tcBorders>
              <w:top w:val="single" w:sz="6" w:space="0" w:color="auto"/>
              <w:bottom w:val="double" w:sz="6" w:space="0" w:color="auto"/>
            </w:tcBorders>
          </w:tcPr>
          <w:p w14:paraId="522726D6" w14:textId="77777777" w:rsidR="008630F3" w:rsidRDefault="008630F3" w:rsidP="002A609A">
            <w:pPr>
              <w:pStyle w:val="APDTABLE1"/>
              <w:rPr>
                <w:rFonts w:asciiTheme="majorHAnsi" w:hAnsiTheme="majorHAnsi" w:cstheme="majorHAnsi"/>
              </w:rPr>
            </w:pPr>
          </w:p>
        </w:tc>
        <w:tc>
          <w:tcPr>
            <w:tcW w:w="1283" w:type="dxa"/>
            <w:tcBorders>
              <w:top w:val="single" w:sz="6" w:space="0" w:color="auto"/>
              <w:bottom w:val="double" w:sz="6" w:space="0" w:color="auto"/>
            </w:tcBorders>
          </w:tcPr>
          <w:p w14:paraId="4309D348" w14:textId="77777777" w:rsidR="008630F3" w:rsidRDefault="008630F3" w:rsidP="002A609A">
            <w:pPr>
              <w:pStyle w:val="APDTABLE1"/>
              <w:rPr>
                <w:rFonts w:asciiTheme="majorHAnsi" w:hAnsiTheme="majorHAnsi" w:cstheme="majorHAnsi"/>
              </w:rPr>
            </w:pPr>
          </w:p>
        </w:tc>
      </w:tr>
    </w:tbl>
    <w:p w14:paraId="4C43800A" w14:textId="77777777" w:rsidR="008630F3" w:rsidRPr="00DC71B0" w:rsidRDefault="008630F3" w:rsidP="002A609A">
      <w:pPr>
        <w:pStyle w:val="APDTABLE1"/>
        <w:rPr>
          <w:rFonts w:asciiTheme="majorHAnsi" w:hAnsiTheme="majorHAnsi" w:cstheme="majorHAnsi"/>
        </w:rPr>
      </w:pPr>
    </w:p>
    <w:p w14:paraId="63F5138D" w14:textId="77777777" w:rsidR="00BA02CB" w:rsidRPr="00DC71B0" w:rsidRDefault="00BA02CB" w:rsidP="0093034F">
      <w:pPr>
        <w:pStyle w:val="HeadLevel1"/>
        <w:jc w:val="left"/>
      </w:pPr>
      <w:r w:rsidRPr="00DC71B0">
        <w:br w:type="page"/>
      </w:r>
    </w:p>
    <w:p w14:paraId="1AF3BC47" w14:textId="77777777" w:rsidR="00002E2D" w:rsidRPr="000F6684" w:rsidRDefault="00002E2D" w:rsidP="00C006D6">
      <w:pPr>
        <w:pStyle w:val="APDHeadingLevel1"/>
        <w:outlineLvl w:val="0"/>
      </w:pPr>
      <w:r w:rsidRPr="000F6684">
        <w:lastRenderedPageBreak/>
        <w:t>Process Heater/Furnace Attributes</w:t>
      </w:r>
    </w:p>
    <w:p w14:paraId="138AB182" w14:textId="77777777" w:rsidR="00002E2D" w:rsidRPr="000F6684" w:rsidRDefault="00002E2D" w:rsidP="00C006D6">
      <w:pPr>
        <w:pStyle w:val="APDHeadingLevel1"/>
        <w:outlineLvl w:val="0"/>
      </w:pPr>
      <w:r w:rsidRPr="000F6684">
        <w:t>Form OP-UA5 (Page 2)</w:t>
      </w:r>
    </w:p>
    <w:p w14:paraId="4AC8872A" w14:textId="77777777" w:rsidR="00002E2D" w:rsidRPr="000F6684" w:rsidRDefault="00002E2D" w:rsidP="00C006D6">
      <w:pPr>
        <w:pStyle w:val="APDHeadingLevel1"/>
        <w:outlineLvl w:val="0"/>
      </w:pPr>
      <w:r w:rsidRPr="000F6684">
        <w:t>Federal Operating Permit Program</w:t>
      </w:r>
    </w:p>
    <w:p w14:paraId="09F64647" w14:textId="77777777" w:rsidR="00002E2D" w:rsidRPr="000F6684" w:rsidRDefault="00002E2D" w:rsidP="00C006D6">
      <w:pPr>
        <w:pStyle w:val="APDHeadingLevel1"/>
        <w:outlineLvl w:val="0"/>
      </w:pPr>
      <w:bookmarkStart w:id="36" w:name="TBL1b"/>
      <w:r w:rsidRPr="000F6684">
        <w:t>Table 1b</w:t>
      </w:r>
      <w:bookmarkEnd w:id="36"/>
      <w:r w:rsidRPr="000F6684">
        <w:t>: Title 30 Texas Administrative Code Chapter 112 (30 TAC Chapter 117)</w:t>
      </w:r>
    </w:p>
    <w:p w14:paraId="47F2DA79" w14:textId="77777777" w:rsidR="00002E2D" w:rsidRPr="000F6684" w:rsidRDefault="00002E2D" w:rsidP="00C006D6">
      <w:pPr>
        <w:pStyle w:val="APDHeadingLevel1"/>
        <w:outlineLvl w:val="0"/>
      </w:pPr>
      <w:r w:rsidRPr="000F6684">
        <w:t xml:space="preserve">Subchapter B: Combustion Control at Major Industrial, Commercial, and </w:t>
      </w:r>
    </w:p>
    <w:p w14:paraId="4AB43524" w14:textId="36538554" w:rsidR="00002E2D" w:rsidRPr="000F6684" w:rsidRDefault="00002E2D" w:rsidP="00C006D6">
      <w:pPr>
        <w:pStyle w:val="APDHeadingLevel1"/>
        <w:outlineLvl w:val="0"/>
      </w:pPr>
      <w:r w:rsidRPr="000F6684">
        <w:t>Institutional Sources in Ozone Nonattainment Areas, Process Heaters</w:t>
      </w:r>
    </w:p>
    <w:p w14:paraId="41C5DF62" w14:textId="77777777" w:rsidR="000F6684" w:rsidRPr="000F6684" w:rsidRDefault="000F6684" w:rsidP="00C006D6">
      <w:pPr>
        <w:pStyle w:val="APDHeadingLevel1"/>
        <w:outlineLvl w:val="0"/>
      </w:pPr>
      <w:r w:rsidRPr="000F6684">
        <w:t>Texas Commission on Environmental Quality</w:t>
      </w:r>
    </w:p>
    <w:p w14:paraId="2D155CBA" w14:textId="3286F0F4" w:rsidR="00BA02CB" w:rsidRDefault="00BA02CB" w:rsidP="0093034F">
      <w:pPr>
        <w:pStyle w:val="APDTABLE1"/>
        <w:spacing w:before="240"/>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30 Texas Administrative Code Chapter 112 (30 TAC Chapter 117)&#10;Subchapter B: Combustion Control at Major Industrial, Commercial, and Institutional Sources in Ozone Nonattainment Areas, Process Heaters&#10;&#10;&#10;"/>
      </w:tblPr>
      <w:tblGrid>
        <w:gridCol w:w="4800"/>
        <w:gridCol w:w="4800"/>
        <w:gridCol w:w="4800"/>
      </w:tblGrid>
      <w:tr w:rsidR="0093034F" w:rsidRPr="00756A95" w14:paraId="50DEA737" w14:textId="77777777" w:rsidTr="00F263FF">
        <w:trPr>
          <w:cantSplit/>
          <w:tblHeader/>
        </w:trPr>
        <w:tc>
          <w:tcPr>
            <w:tcW w:w="4800" w:type="dxa"/>
            <w:shd w:val="clear" w:color="auto" w:fill="D9D9D9" w:themeFill="background1" w:themeFillShade="D9"/>
          </w:tcPr>
          <w:p w14:paraId="0BAE954B"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43A21C24"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3D1E5CE6"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71878BEE" w14:textId="77777777" w:rsidTr="00F263FF">
        <w:trPr>
          <w:cantSplit/>
          <w:tblHeader/>
        </w:trPr>
        <w:tc>
          <w:tcPr>
            <w:tcW w:w="4800" w:type="dxa"/>
          </w:tcPr>
          <w:p w14:paraId="08C1C3A6" w14:textId="77777777" w:rsidR="0093034F" w:rsidRDefault="0093034F" w:rsidP="00F263FF">
            <w:pPr>
              <w:rPr>
                <w:rFonts w:asciiTheme="majorHAnsi" w:hAnsiTheme="majorHAnsi" w:cstheme="majorHAnsi"/>
              </w:rPr>
            </w:pPr>
          </w:p>
        </w:tc>
        <w:tc>
          <w:tcPr>
            <w:tcW w:w="4800" w:type="dxa"/>
          </w:tcPr>
          <w:p w14:paraId="0C7B628B" w14:textId="77777777" w:rsidR="0093034F" w:rsidRDefault="0093034F" w:rsidP="00F263FF">
            <w:pPr>
              <w:rPr>
                <w:rFonts w:asciiTheme="majorHAnsi" w:hAnsiTheme="majorHAnsi" w:cstheme="majorHAnsi"/>
              </w:rPr>
            </w:pPr>
          </w:p>
        </w:tc>
        <w:tc>
          <w:tcPr>
            <w:tcW w:w="4800" w:type="dxa"/>
          </w:tcPr>
          <w:p w14:paraId="74801A8D" w14:textId="77777777" w:rsidR="0093034F" w:rsidRDefault="0093034F" w:rsidP="00F263FF">
            <w:pPr>
              <w:rPr>
                <w:rFonts w:asciiTheme="majorHAnsi" w:hAnsiTheme="majorHAnsi" w:cstheme="majorHAnsi"/>
              </w:rPr>
            </w:pPr>
          </w:p>
        </w:tc>
      </w:tr>
    </w:tbl>
    <w:p w14:paraId="65AAD641" w14:textId="53C335D2" w:rsidR="000F6684" w:rsidRDefault="000F6684"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b: Title 30 Texas Administrative Code Chapter 112 (30 TAC Chapter 117) Subchapter B: Combustion Control at Major Industrial, Commercial, and Institutional Sources in Ozone Nonattainment Areas, Process Heaters&#10;"/>
      </w:tblPr>
      <w:tblGrid>
        <w:gridCol w:w="1600"/>
        <w:gridCol w:w="1600"/>
        <w:gridCol w:w="1600"/>
        <w:gridCol w:w="1600"/>
        <w:gridCol w:w="1600"/>
        <w:gridCol w:w="1600"/>
        <w:gridCol w:w="1600"/>
        <w:gridCol w:w="1600"/>
        <w:gridCol w:w="1600"/>
      </w:tblGrid>
      <w:tr w:rsidR="00BC6ACF" w14:paraId="14EF6C3F" w14:textId="77777777" w:rsidTr="00BC6ACF">
        <w:trPr>
          <w:cantSplit/>
          <w:tblHeader/>
        </w:trPr>
        <w:tc>
          <w:tcPr>
            <w:tcW w:w="1600" w:type="dxa"/>
            <w:shd w:val="clear" w:color="auto" w:fill="D9D9D9" w:themeFill="background1" w:themeFillShade="D9"/>
            <w:vAlign w:val="center"/>
          </w:tcPr>
          <w:p w14:paraId="6773353A" w14:textId="1C00ADBA" w:rsidR="00BC6ACF" w:rsidRPr="00BC6ACF" w:rsidRDefault="00BC6ACF" w:rsidP="00BC6ACF">
            <w:pPr>
              <w:pStyle w:val="APDTABLE1"/>
              <w:jc w:val="center"/>
              <w:rPr>
                <w:rFonts w:asciiTheme="majorHAnsi" w:hAnsiTheme="majorHAnsi" w:cstheme="majorHAnsi"/>
                <w:sz w:val="20"/>
                <w:szCs w:val="20"/>
              </w:rPr>
            </w:pPr>
            <w:r w:rsidRPr="00BC6ACF">
              <w:rPr>
                <w:sz w:val="20"/>
                <w:szCs w:val="20"/>
              </w:rPr>
              <w:t>Unit ID No.</w:t>
            </w:r>
          </w:p>
        </w:tc>
        <w:tc>
          <w:tcPr>
            <w:tcW w:w="1600" w:type="dxa"/>
            <w:shd w:val="clear" w:color="auto" w:fill="D9D9D9" w:themeFill="background1" w:themeFillShade="D9"/>
            <w:vAlign w:val="center"/>
          </w:tcPr>
          <w:p w14:paraId="605DD4F3" w14:textId="77777777" w:rsidR="00A91434" w:rsidRDefault="00BC6ACF" w:rsidP="00BC6ACF">
            <w:pPr>
              <w:pStyle w:val="APDTABLE1"/>
              <w:jc w:val="center"/>
              <w:rPr>
                <w:sz w:val="20"/>
                <w:szCs w:val="20"/>
              </w:rPr>
            </w:pPr>
            <w:r w:rsidRPr="00BC6ACF">
              <w:rPr>
                <w:sz w:val="20"/>
                <w:szCs w:val="20"/>
              </w:rPr>
              <w:t>SOP/GOP</w:t>
            </w:r>
          </w:p>
          <w:p w14:paraId="49CDD38D" w14:textId="34FCC6A7" w:rsidR="00BC6ACF" w:rsidRPr="00BC6ACF" w:rsidRDefault="00BC6ACF" w:rsidP="00BC6ACF">
            <w:pPr>
              <w:pStyle w:val="APDTABLE1"/>
              <w:jc w:val="center"/>
              <w:rPr>
                <w:rFonts w:asciiTheme="majorHAnsi" w:hAnsiTheme="majorHAnsi" w:cstheme="majorHAnsi"/>
                <w:sz w:val="20"/>
                <w:szCs w:val="20"/>
              </w:rPr>
            </w:pPr>
            <w:r w:rsidRPr="00BC6ACF">
              <w:rPr>
                <w:sz w:val="20"/>
                <w:szCs w:val="20"/>
              </w:rPr>
              <w:t>Index No.</w:t>
            </w:r>
          </w:p>
        </w:tc>
        <w:tc>
          <w:tcPr>
            <w:tcW w:w="1600" w:type="dxa"/>
            <w:shd w:val="clear" w:color="auto" w:fill="D9D9D9" w:themeFill="background1" w:themeFillShade="D9"/>
            <w:vAlign w:val="center"/>
          </w:tcPr>
          <w:p w14:paraId="7839AE1F" w14:textId="10CA3869" w:rsidR="00BC6ACF" w:rsidRPr="00BC6ACF" w:rsidRDefault="00BC6ACF" w:rsidP="00BC6ACF">
            <w:pPr>
              <w:pStyle w:val="APDTABLE1"/>
              <w:jc w:val="center"/>
              <w:rPr>
                <w:rFonts w:asciiTheme="majorHAnsi" w:hAnsiTheme="majorHAnsi" w:cstheme="majorHAnsi"/>
                <w:sz w:val="20"/>
                <w:szCs w:val="20"/>
              </w:rPr>
            </w:pPr>
            <w:r w:rsidRPr="00BC6ACF">
              <w:rPr>
                <w:sz w:val="20"/>
                <w:szCs w:val="20"/>
              </w:rPr>
              <w:t>Diluent CEMS</w:t>
            </w:r>
          </w:p>
        </w:tc>
        <w:tc>
          <w:tcPr>
            <w:tcW w:w="1600" w:type="dxa"/>
            <w:shd w:val="clear" w:color="auto" w:fill="D9D9D9" w:themeFill="background1" w:themeFillShade="D9"/>
            <w:vAlign w:val="center"/>
          </w:tcPr>
          <w:p w14:paraId="6A20C593" w14:textId="77777777" w:rsidR="00A91434" w:rsidRDefault="00BC6ACF" w:rsidP="00BC6ACF">
            <w:pPr>
              <w:pStyle w:val="APDTABLE1"/>
              <w:jc w:val="center"/>
              <w:rPr>
                <w:sz w:val="20"/>
                <w:szCs w:val="20"/>
              </w:rPr>
            </w:pPr>
            <w:r w:rsidRPr="00BC6ACF">
              <w:rPr>
                <w:sz w:val="20"/>
                <w:szCs w:val="20"/>
              </w:rPr>
              <w:t>30 TAC</w:t>
            </w:r>
          </w:p>
          <w:p w14:paraId="57D9DCA9" w14:textId="69973D8A" w:rsidR="00BC6ACF" w:rsidRPr="00BC6ACF" w:rsidRDefault="00BC6ACF" w:rsidP="00BC6ACF">
            <w:pPr>
              <w:pStyle w:val="APDTABLE1"/>
              <w:jc w:val="center"/>
              <w:rPr>
                <w:rFonts w:asciiTheme="majorHAnsi" w:hAnsiTheme="majorHAnsi" w:cstheme="majorHAnsi"/>
                <w:sz w:val="20"/>
                <w:szCs w:val="20"/>
              </w:rPr>
            </w:pPr>
            <w:r w:rsidRPr="00BC6ACF">
              <w:rPr>
                <w:sz w:val="20"/>
                <w:szCs w:val="20"/>
              </w:rPr>
              <w:t>Chapter 116 Limit</w:t>
            </w:r>
          </w:p>
        </w:tc>
        <w:tc>
          <w:tcPr>
            <w:tcW w:w="1600" w:type="dxa"/>
            <w:shd w:val="clear" w:color="auto" w:fill="D9D9D9" w:themeFill="background1" w:themeFillShade="D9"/>
            <w:vAlign w:val="center"/>
          </w:tcPr>
          <w:p w14:paraId="5BF333E8" w14:textId="6F672C8D" w:rsidR="00BC6ACF" w:rsidRPr="00BC6ACF" w:rsidRDefault="00BC6ACF" w:rsidP="00BC6ACF">
            <w:pPr>
              <w:pStyle w:val="APDTABLE1"/>
              <w:jc w:val="center"/>
              <w:rPr>
                <w:rFonts w:asciiTheme="majorHAnsi" w:hAnsiTheme="majorHAnsi" w:cstheme="majorHAnsi"/>
                <w:sz w:val="20"/>
                <w:szCs w:val="20"/>
              </w:rPr>
            </w:pPr>
            <w:r w:rsidRPr="00BC6ACF">
              <w:rPr>
                <w:sz w:val="20"/>
                <w:szCs w:val="20"/>
              </w:rPr>
              <w:t>NOx Emission Limit Basis</w:t>
            </w:r>
          </w:p>
        </w:tc>
        <w:tc>
          <w:tcPr>
            <w:tcW w:w="1600" w:type="dxa"/>
            <w:shd w:val="clear" w:color="auto" w:fill="D9D9D9" w:themeFill="background1" w:themeFillShade="D9"/>
            <w:vAlign w:val="center"/>
          </w:tcPr>
          <w:p w14:paraId="1C1B366E" w14:textId="6425146F" w:rsidR="00BC6ACF" w:rsidRPr="00BC6ACF" w:rsidRDefault="00BC6ACF" w:rsidP="00BC6ACF">
            <w:pPr>
              <w:pStyle w:val="APDTABLE1"/>
              <w:jc w:val="center"/>
              <w:rPr>
                <w:rFonts w:asciiTheme="majorHAnsi" w:hAnsiTheme="majorHAnsi" w:cstheme="majorHAnsi"/>
                <w:sz w:val="20"/>
                <w:szCs w:val="20"/>
              </w:rPr>
            </w:pPr>
            <w:r w:rsidRPr="00BC6ACF">
              <w:rPr>
                <w:sz w:val="20"/>
                <w:szCs w:val="20"/>
              </w:rPr>
              <w:t>NOx Reduction</w:t>
            </w:r>
          </w:p>
        </w:tc>
        <w:tc>
          <w:tcPr>
            <w:tcW w:w="1600" w:type="dxa"/>
            <w:shd w:val="clear" w:color="auto" w:fill="D9D9D9" w:themeFill="background1" w:themeFillShade="D9"/>
            <w:vAlign w:val="center"/>
          </w:tcPr>
          <w:p w14:paraId="5B03EA0F" w14:textId="7D8DBFDC" w:rsidR="00BC6ACF" w:rsidRPr="00BC6ACF" w:rsidRDefault="00BC6ACF" w:rsidP="00BC6ACF">
            <w:pPr>
              <w:pStyle w:val="APDTABLE1"/>
              <w:jc w:val="center"/>
              <w:rPr>
                <w:rFonts w:asciiTheme="majorHAnsi" w:hAnsiTheme="majorHAnsi" w:cstheme="majorHAnsi"/>
                <w:sz w:val="20"/>
                <w:szCs w:val="20"/>
              </w:rPr>
            </w:pPr>
            <w:r w:rsidRPr="00BC6ACF">
              <w:rPr>
                <w:sz w:val="20"/>
                <w:szCs w:val="20"/>
              </w:rPr>
              <w:t>Common Stack Combined</w:t>
            </w:r>
          </w:p>
        </w:tc>
        <w:tc>
          <w:tcPr>
            <w:tcW w:w="1600" w:type="dxa"/>
            <w:shd w:val="clear" w:color="auto" w:fill="D9D9D9" w:themeFill="background1" w:themeFillShade="D9"/>
            <w:vAlign w:val="center"/>
          </w:tcPr>
          <w:p w14:paraId="403721F5" w14:textId="42065D72" w:rsidR="00BC6ACF" w:rsidRPr="00BC6ACF" w:rsidRDefault="00BC6ACF" w:rsidP="00BC6ACF">
            <w:pPr>
              <w:pStyle w:val="APDTABLE1"/>
              <w:jc w:val="center"/>
              <w:rPr>
                <w:rFonts w:asciiTheme="majorHAnsi" w:hAnsiTheme="majorHAnsi" w:cstheme="majorHAnsi"/>
                <w:sz w:val="20"/>
                <w:szCs w:val="20"/>
              </w:rPr>
            </w:pPr>
            <w:r w:rsidRPr="00BC6ACF">
              <w:rPr>
                <w:sz w:val="20"/>
                <w:szCs w:val="20"/>
              </w:rPr>
              <w:t>Fuel Type Heat Input</w:t>
            </w:r>
          </w:p>
        </w:tc>
        <w:tc>
          <w:tcPr>
            <w:tcW w:w="1600" w:type="dxa"/>
            <w:shd w:val="clear" w:color="auto" w:fill="D9D9D9" w:themeFill="background1" w:themeFillShade="D9"/>
            <w:vAlign w:val="center"/>
          </w:tcPr>
          <w:p w14:paraId="1E1E8C0C" w14:textId="093BC871" w:rsidR="00BC6ACF" w:rsidRPr="00BC6ACF" w:rsidRDefault="00BC6ACF" w:rsidP="00BC6ACF">
            <w:pPr>
              <w:pStyle w:val="APDTABLE1"/>
              <w:jc w:val="center"/>
              <w:rPr>
                <w:rFonts w:asciiTheme="majorHAnsi" w:hAnsiTheme="majorHAnsi" w:cstheme="majorHAnsi"/>
                <w:sz w:val="20"/>
                <w:szCs w:val="20"/>
              </w:rPr>
            </w:pPr>
            <w:r w:rsidRPr="00BC6ACF">
              <w:rPr>
                <w:sz w:val="20"/>
                <w:szCs w:val="20"/>
              </w:rPr>
              <w:t>NOx Monitoring System</w:t>
            </w:r>
          </w:p>
        </w:tc>
      </w:tr>
      <w:tr w:rsidR="00BC6ACF" w14:paraId="30F93BF5" w14:textId="77777777" w:rsidTr="00BC6ACF">
        <w:trPr>
          <w:cantSplit/>
          <w:tblHeader/>
        </w:trPr>
        <w:tc>
          <w:tcPr>
            <w:tcW w:w="1600" w:type="dxa"/>
          </w:tcPr>
          <w:p w14:paraId="40187618" w14:textId="77777777" w:rsidR="00BC6ACF" w:rsidRDefault="00BC6ACF" w:rsidP="002A609A">
            <w:pPr>
              <w:pStyle w:val="APDTABLE1"/>
              <w:rPr>
                <w:rFonts w:asciiTheme="majorHAnsi" w:hAnsiTheme="majorHAnsi" w:cstheme="majorHAnsi"/>
              </w:rPr>
            </w:pPr>
          </w:p>
        </w:tc>
        <w:tc>
          <w:tcPr>
            <w:tcW w:w="1600" w:type="dxa"/>
          </w:tcPr>
          <w:p w14:paraId="05773BF5" w14:textId="77777777" w:rsidR="00BC6ACF" w:rsidRDefault="00BC6ACF" w:rsidP="002A609A">
            <w:pPr>
              <w:pStyle w:val="APDTABLE1"/>
              <w:rPr>
                <w:rFonts w:asciiTheme="majorHAnsi" w:hAnsiTheme="majorHAnsi" w:cstheme="majorHAnsi"/>
              </w:rPr>
            </w:pPr>
          </w:p>
        </w:tc>
        <w:tc>
          <w:tcPr>
            <w:tcW w:w="1600" w:type="dxa"/>
          </w:tcPr>
          <w:p w14:paraId="4A43D32F" w14:textId="77777777" w:rsidR="00BC6ACF" w:rsidRDefault="00BC6ACF" w:rsidP="002A609A">
            <w:pPr>
              <w:pStyle w:val="APDTABLE1"/>
              <w:rPr>
                <w:rFonts w:asciiTheme="majorHAnsi" w:hAnsiTheme="majorHAnsi" w:cstheme="majorHAnsi"/>
              </w:rPr>
            </w:pPr>
          </w:p>
        </w:tc>
        <w:tc>
          <w:tcPr>
            <w:tcW w:w="1600" w:type="dxa"/>
          </w:tcPr>
          <w:p w14:paraId="2709A038" w14:textId="77777777" w:rsidR="00BC6ACF" w:rsidRDefault="00BC6ACF" w:rsidP="002A609A">
            <w:pPr>
              <w:pStyle w:val="APDTABLE1"/>
              <w:rPr>
                <w:rFonts w:asciiTheme="majorHAnsi" w:hAnsiTheme="majorHAnsi" w:cstheme="majorHAnsi"/>
              </w:rPr>
            </w:pPr>
          </w:p>
        </w:tc>
        <w:tc>
          <w:tcPr>
            <w:tcW w:w="1600" w:type="dxa"/>
          </w:tcPr>
          <w:p w14:paraId="37545EA2" w14:textId="77777777" w:rsidR="00BC6ACF" w:rsidRDefault="00BC6ACF" w:rsidP="002A609A">
            <w:pPr>
              <w:pStyle w:val="APDTABLE1"/>
              <w:rPr>
                <w:rFonts w:asciiTheme="majorHAnsi" w:hAnsiTheme="majorHAnsi" w:cstheme="majorHAnsi"/>
              </w:rPr>
            </w:pPr>
          </w:p>
        </w:tc>
        <w:tc>
          <w:tcPr>
            <w:tcW w:w="1600" w:type="dxa"/>
          </w:tcPr>
          <w:p w14:paraId="3ABF41F9" w14:textId="77777777" w:rsidR="00BC6ACF" w:rsidRDefault="00BC6ACF" w:rsidP="002A609A">
            <w:pPr>
              <w:pStyle w:val="APDTABLE1"/>
              <w:rPr>
                <w:rFonts w:asciiTheme="majorHAnsi" w:hAnsiTheme="majorHAnsi" w:cstheme="majorHAnsi"/>
              </w:rPr>
            </w:pPr>
          </w:p>
        </w:tc>
        <w:tc>
          <w:tcPr>
            <w:tcW w:w="1600" w:type="dxa"/>
          </w:tcPr>
          <w:p w14:paraId="5652AE1E" w14:textId="77777777" w:rsidR="00BC6ACF" w:rsidRDefault="00BC6ACF" w:rsidP="002A609A">
            <w:pPr>
              <w:pStyle w:val="APDTABLE1"/>
              <w:rPr>
                <w:rFonts w:asciiTheme="majorHAnsi" w:hAnsiTheme="majorHAnsi" w:cstheme="majorHAnsi"/>
              </w:rPr>
            </w:pPr>
          </w:p>
        </w:tc>
        <w:tc>
          <w:tcPr>
            <w:tcW w:w="1600" w:type="dxa"/>
          </w:tcPr>
          <w:p w14:paraId="3CEEABBC" w14:textId="77777777" w:rsidR="00BC6ACF" w:rsidRDefault="00BC6ACF" w:rsidP="002A609A">
            <w:pPr>
              <w:pStyle w:val="APDTABLE1"/>
              <w:rPr>
                <w:rFonts w:asciiTheme="majorHAnsi" w:hAnsiTheme="majorHAnsi" w:cstheme="majorHAnsi"/>
              </w:rPr>
            </w:pPr>
          </w:p>
        </w:tc>
        <w:tc>
          <w:tcPr>
            <w:tcW w:w="1600" w:type="dxa"/>
          </w:tcPr>
          <w:p w14:paraId="2B3F2849" w14:textId="77777777" w:rsidR="00BC6ACF" w:rsidRDefault="00BC6ACF" w:rsidP="002A609A">
            <w:pPr>
              <w:pStyle w:val="APDTABLE1"/>
              <w:rPr>
                <w:rFonts w:asciiTheme="majorHAnsi" w:hAnsiTheme="majorHAnsi" w:cstheme="majorHAnsi"/>
              </w:rPr>
            </w:pPr>
          </w:p>
        </w:tc>
      </w:tr>
      <w:tr w:rsidR="00BC6ACF" w14:paraId="7DBA71BB" w14:textId="77777777" w:rsidTr="00BC6ACF">
        <w:trPr>
          <w:cantSplit/>
          <w:tblHeader/>
        </w:trPr>
        <w:tc>
          <w:tcPr>
            <w:tcW w:w="1600" w:type="dxa"/>
          </w:tcPr>
          <w:p w14:paraId="647DEBC3" w14:textId="77777777" w:rsidR="00BC6ACF" w:rsidRDefault="00BC6ACF" w:rsidP="002A609A">
            <w:pPr>
              <w:pStyle w:val="APDTABLE1"/>
              <w:rPr>
                <w:rFonts w:asciiTheme="majorHAnsi" w:hAnsiTheme="majorHAnsi" w:cstheme="majorHAnsi"/>
              </w:rPr>
            </w:pPr>
          </w:p>
        </w:tc>
        <w:tc>
          <w:tcPr>
            <w:tcW w:w="1600" w:type="dxa"/>
          </w:tcPr>
          <w:p w14:paraId="4DCA75CD" w14:textId="77777777" w:rsidR="00BC6ACF" w:rsidRDefault="00BC6ACF" w:rsidP="002A609A">
            <w:pPr>
              <w:pStyle w:val="APDTABLE1"/>
              <w:rPr>
                <w:rFonts w:asciiTheme="majorHAnsi" w:hAnsiTheme="majorHAnsi" w:cstheme="majorHAnsi"/>
              </w:rPr>
            </w:pPr>
          </w:p>
        </w:tc>
        <w:tc>
          <w:tcPr>
            <w:tcW w:w="1600" w:type="dxa"/>
          </w:tcPr>
          <w:p w14:paraId="6B160AC4" w14:textId="77777777" w:rsidR="00BC6ACF" w:rsidRDefault="00BC6ACF" w:rsidP="002A609A">
            <w:pPr>
              <w:pStyle w:val="APDTABLE1"/>
              <w:rPr>
                <w:rFonts w:asciiTheme="majorHAnsi" w:hAnsiTheme="majorHAnsi" w:cstheme="majorHAnsi"/>
              </w:rPr>
            </w:pPr>
          </w:p>
        </w:tc>
        <w:tc>
          <w:tcPr>
            <w:tcW w:w="1600" w:type="dxa"/>
          </w:tcPr>
          <w:p w14:paraId="47A8047A" w14:textId="77777777" w:rsidR="00BC6ACF" w:rsidRDefault="00BC6ACF" w:rsidP="002A609A">
            <w:pPr>
              <w:pStyle w:val="APDTABLE1"/>
              <w:rPr>
                <w:rFonts w:asciiTheme="majorHAnsi" w:hAnsiTheme="majorHAnsi" w:cstheme="majorHAnsi"/>
              </w:rPr>
            </w:pPr>
          </w:p>
        </w:tc>
        <w:tc>
          <w:tcPr>
            <w:tcW w:w="1600" w:type="dxa"/>
          </w:tcPr>
          <w:p w14:paraId="13C09F27" w14:textId="77777777" w:rsidR="00BC6ACF" w:rsidRDefault="00BC6ACF" w:rsidP="002A609A">
            <w:pPr>
              <w:pStyle w:val="APDTABLE1"/>
              <w:rPr>
                <w:rFonts w:asciiTheme="majorHAnsi" w:hAnsiTheme="majorHAnsi" w:cstheme="majorHAnsi"/>
              </w:rPr>
            </w:pPr>
          </w:p>
        </w:tc>
        <w:tc>
          <w:tcPr>
            <w:tcW w:w="1600" w:type="dxa"/>
          </w:tcPr>
          <w:p w14:paraId="5FA6650C" w14:textId="77777777" w:rsidR="00BC6ACF" w:rsidRDefault="00BC6ACF" w:rsidP="002A609A">
            <w:pPr>
              <w:pStyle w:val="APDTABLE1"/>
              <w:rPr>
                <w:rFonts w:asciiTheme="majorHAnsi" w:hAnsiTheme="majorHAnsi" w:cstheme="majorHAnsi"/>
              </w:rPr>
            </w:pPr>
          </w:p>
        </w:tc>
        <w:tc>
          <w:tcPr>
            <w:tcW w:w="1600" w:type="dxa"/>
          </w:tcPr>
          <w:p w14:paraId="0D7F5AF3" w14:textId="77777777" w:rsidR="00BC6ACF" w:rsidRDefault="00BC6ACF" w:rsidP="002A609A">
            <w:pPr>
              <w:pStyle w:val="APDTABLE1"/>
              <w:rPr>
                <w:rFonts w:asciiTheme="majorHAnsi" w:hAnsiTheme="majorHAnsi" w:cstheme="majorHAnsi"/>
              </w:rPr>
            </w:pPr>
          </w:p>
        </w:tc>
        <w:tc>
          <w:tcPr>
            <w:tcW w:w="1600" w:type="dxa"/>
          </w:tcPr>
          <w:p w14:paraId="69D0CABB" w14:textId="77777777" w:rsidR="00BC6ACF" w:rsidRDefault="00BC6ACF" w:rsidP="002A609A">
            <w:pPr>
              <w:pStyle w:val="APDTABLE1"/>
              <w:rPr>
                <w:rFonts w:asciiTheme="majorHAnsi" w:hAnsiTheme="majorHAnsi" w:cstheme="majorHAnsi"/>
              </w:rPr>
            </w:pPr>
          </w:p>
        </w:tc>
        <w:tc>
          <w:tcPr>
            <w:tcW w:w="1600" w:type="dxa"/>
          </w:tcPr>
          <w:p w14:paraId="09FE5974" w14:textId="77777777" w:rsidR="00BC6ACF" w:rsidRDefault="00BC6ACF" w:rsidP="002A609A">
            <w:pPr>
              <w:pStyle w:val="APDTABLE1"/>
              <w:rPr>
                <w:rFonts w:asciiTheme="majorHAnsi" w:hAnsiTheme="majorHAnsi" w:cstheme="majorHAnsi"/>
              </w:rPr>
            </w:pPr>
          </w:p>
        </w:tc>
      </w:tr>
      <w:tr w:rsidR="00BC6ACF" w14:paraId="7EE0E3B4" w14:textId="77777777" w:rsidTr="00BC6ACF">
        <w:trPr>
          <w:cantSplit/>
          <w:tblHeader/>
        </w:trPr>
        <w:tc>
          <w:tcPr>
            <w:tcW w:w="1600" w:type="dxa"/>
          </w:tcPr>
          <w:p w14:paraId="74AA14C8" w14:textId="77777777" w:rsidR="00BC6ACF" w:rsidRDefault="00BC6ACF" w:rsidP="002A609A">
            <w:pPr>
              <w:pStyle w:val="APDTABLE1"/>
              <w:rPr>
                <w:rFonts w:asciiTheme="majorHAnsi" w:hAnsiTheme="majorHAnsi" w:cstheme="majorHAnsi"/>
              </w:rPr>
            </w:pPr>
          </w:p>
        </w:tc>
        <w:tc>
          <w:tcPr>
            <w:tcW w:w="1600" w:type="dxa"/>
          </w:tcPr>
          <w:p w14:paraId="3BEC349E" w14:textId="77777777" w:rsidR="00BC6ACF" w:rsidRDefault="00BC6ACF" w:rsidP="002A609A">
            <w:pPr>
              <w:pStyle w:val="APDTABLE1"/>
              <w:rPr>
                <w:rFonts w:asciiTheme="majorHAnsi" w:hAnsiTheme="majorHAnsi" w:cstheme="majorHAnsi"/>
              </w:rPr>
            </w:pPr>
          </w:p>
        </w:tc>
        <w:tc>
          <w:tcPr>
            <w:tcW w:w="1600" w:type="dxa"/>
          </w:tcPr>
          <w:p w14:paraId="6FAB63E4" w14:textId="77777777" w:rsidR="00BC6ACF" w:rsidRDefault="00BC6ACF" w:rsidP="002A609A">
            <w:pPr>
              <w:pStyle w:val="APDTABLE1"/>
              <w:rPr>
                <w:rFonts w:asciiTheme="majorHAnsi" w:hAnsiTheme="majorHAnsi" w:cstheme="majorHAnsi"/>
              </w:rPr>
            </w:pPr>
          </w:p>
        </w:tc>
        <w:tc>
          <w:tcPr>
            <w:tcW w:w="1600" w:type="dxa"/>
          </w:tcPr>
          <w:p w14:paraId="1D242182" w14:textId="77777777" w:rsidR="00BC6ACF" w:rsidRDefault="00BC6ACF" w:rsidP="002A609A">
            <w:pPr>
              <w:pStyle w:val="APDTABLE1"/>
              <w:rPr>
                <w:rFonts w:asciiTheme="majorHAnsi" w:hAnsiTheme="majorHAnsi" w:cstheme="majorHAnsi"/>
              </w:rPr>
            </w:pPr>
          </w:p>
        </w:tc>
        <w:tc>
          <w:tcPr>
            <w:tcW w:w="1600" w:type="dxa"/>
          </w:tcPr>
          <w:p w14:paraId="0E263F7D" w14:textId="77777777" w:rsidR="00BC6ACF" w:rsidRDefault="00BC6ACF" w:rsidP="002A609A">
            <w:pPr>
              <w:pStyle w:val="APDTABLE1"/>
              <w:rPr>
                <w:rFonts w:asciiTheme="majorHAnsi" w:hAnsiTheme="majorHAnsi" w:cstheme="majorHAnsi"/>
              </w:rPr>
            </w:pPr>
          </w:p>
        </w:tc>
        <w:tc>
          <w:tcPr>
            <w:tcW w:w="1600" w:type="dxa"/>
          </w:tcPr>
          <w:p w14:paraId="6C5E47EB" w14:textId="77777777" w:rsidR="00BC6ACF" w:rsidRDefault="00BC6ACF" w:rsidP="002A609A">
            <w:pPr>
              <w:pStyle w:val="APDTABLE1"/>
              <w:rPr>
                <w:rFonts w:asciiTheme="majorHAnsi" w:hAnsiTheme="majorHAnsi" w:cstheme="majorHAnsi"/>
              </w:rPr>
            </w:pPr>
          </w:p>
        </w:tc>
        <w:tc>
          <w:tcPr>
            <w:tcW w:w="1600" w:type="dxa"/>
          </w:tcPr>
          <w:p w14:paraId="77F9F455" w14:textId="77777777" w:rsidR="00BC6ACF" w:rsidRDefault="00BC6ACF" w:rsidP="002A609A">
            <w:pPr>
              <w:pStyle w:val="APDTABLE1"/>
              <w:rPr>
                <w:rFonts w:asciiTheme="majorHAnsi" w:hAnsiTheme="majorHAnsi" w:cstheme="majorHAnsi"/>
              </w:rPr>
            </w:pPr>
          </w:p>
        </w:tc>
        <w:tc>
          <w:tcPr>
            <w:tcW w:w="1600" w:type="dxa"/>
          </w:tcPr>
          <w:p w14:paraId="4B1F6BB8" w14:textId="77777777" w:rsidR="00BC6ACF" w:rsidRDefault="00BC6ACF" w:rsidP="002A609A">
            <w:pPr>
              <w:pStyle w:val="APDTABLE1"/>
              <w:rPr>
                <w:rFonts w:asciiTheme="majorHAnsi" w:hAnsiTheme="majorHAnsi" w:cstheme="majorHAnsi"/>
              </w:rPr>
            </w:pPr>
          </w:p>
        </w:tc>
        <w:tc>
          <w:tcPr>
            <w:tcW w:w="1600" w:type="dxa"/>
          </w:tcPr>
          <w:p w14:paraId="0F746204" w14:textId="77777777" w:rsidR="00BC6ACF" w:rsidRDefault="00BC6ACF" w:rsidP="002A609A">
            <w:pPr>
              <w:pStyle w:val="APDTABLE1"/>
              <w:rPr>
                <w:rFonts w:asciiTheme="majorHAnsi" w:hAnsiTheme="majorHAnsi" w:cstheme="majorHAnsi"/>
              </w:rPr>
            </w:pPr>
          </w:p>
        </w:tc>
      </w:tr>
      <w:tr w:rsidR="00BC6ACF" w14:paraId="6C8921F7" w14:textId="77777777" w:rsidTr="00BC6ACF">
        <w:trPr>
          <w:cantSplit/>
          <w:tblHeader/>
        </w:trPr>
        <w:tc>
          <w:tcPr>
            <w:tcW w:w="1600" w:type="dxa"/>
          </w:tcPr>
          <w:p w14:paraId="148C6FB2" w14:textId="77777777" w:rsidR="00BC6ACF" w:rsidRDefault="00BC6ACF" w:rsidP="002A609A">
            <w:pPr>
              <w:pStyle w:val="APDTABLE1"/>
              <w:rPr>
                <w:rFonts w:asciiTheme="majorHAnsi" w:hAnsiTheme="majorHAnsi" w:cstheme="majorHAnsi"/>
              </w:rPr>
            </w:pPr>
          </w:p>
        </w:tc>
        <w:tc>
          <w:tcPr>
            <w:tcW w:w="1600" w:type="dxa"/>
          </w:tcPr>
          <w:p w14:paraId="6AA5CA84" w14:textId="77777777" w:rsidR="00BC6ACF" w:rsidRDefault="00BC6ACF" w:rsidP="002A609A">
            <w:pPr>
              <w:pStyle w:val="APDTABLE1"/>
              <w:rPr>
                <w:rFonts w:asciiTheme="majorHAnsi" w:hAnsiTheme="majorHAnsi" w:cstheme="majorHAnsi"/>
              </w:rPr>
            </w:pPr>
          </w:p>
        </w:tc>
        <w:tc>
          <w:tcPr>
            <w:tcW w:w="1600" w:type="dxa"/>
          </w:tcPr>
          <w:p w14:paraId="75571566" w14:textId="77777777" w:rsidR="00BC6ACF" w:rsidRDefault="00BC6ACF" w:rsidP="002A609A">
            <w:pPr>
              <w:pStyle w:val="APDTABLE1"/>
              <w:rPr>
                <w:rFonts w:asciiTheme="majorHAnsi" w:hAnsiTheme="majorHAnsi" w:cstheme="majorHAnsi"/>
              </w:rPr>
            </w:pPr>
          </w:p>
        </w:tc>
        <w:tc>
          <w:tcPr>
            <w:tcW w:w="1600" w:type="dxa"/>
          </w:tcPr>
          <w:p w14:paraId="28DCD607" w14:textId="77777777" w:rsidR="00BC6ACF" w:rsidRDefault="00BC6ACF" w:rsidP="002A609A">
            <w:pPr>
              <w:pStyle w:val="APDTABLE1"/>
              <w:rPr>
                <w:rFonts w:asciiTheme="majorHAnsi" w:hAnsiTheme="majorHAnsi" w:cstheme="majorHAnsi"/>
              </w:rPr>
            </w:pPr>
          </w:p>
        </w:tc>
        <w:tc>
          <w:tcPr>
            <w:tcW w:w="1600" w:type="dxa"/>
          </w:tcPr>
          <w:p w14:paraId="3B0B9AA4" w14:textId="77777777" w:rsidR="00BC6ACF" w:rsidRDefault="00BC6ACF" w:rsidP="002A609A">
            <w:pPr>
              <w:pStyle w:val="APDTABLE1"/>
              <w:rPr>
                <w:rFonts w:asciiTheme="majorHAnsi" w:hAnsiTheme="majorHAnsi" w:cstheme="majorHAnsi"/>
              </w:rPr>
            </w:pPr>
          </w:p>
        </w:tc>
        <w:tc>
          <w:tcPr>
            <w:tcW w:w="1600" w:type="dxa"/>
          </w:tcPr>
          <w:p w14:paraId="47386616" w14:textId="77777777" w:rsidR="00BC6ACF" w:rsidRDefault="00BC6ACF" w:rsidP="002A609A">
            <w:pPr>
              <w:pStyle w:val="APDTABLE1"/>
              <w:rPr>
                <w:rFonts w:asciiTheme="majorHAnsi" w:hAnsiTheme="majorHAnsi" w:cstheme="majorHAnsi"/>
              </w:rPr>
            </w:pPr>
          </w:p>
        </w:tc>
        <w:tc>
          <w:tcPr>
            <w:tcW w:w="1600" w:type="dxa"/>
          </w:tcPr>
          <w:p w14:paraId="59B13208" w14:textId="77777777" w:rsidR="00BC6ACF" w:rsidRDefault="00BC6ACF" w:rsidP="002A609A">
            <w:pPr>
              <w:pStyle w:val="APDTABLE1"/>
              <w:rPr>
                <w:rFonts w:asciiTheme="majorHAnsi" w:hAnsiTheme="majorHAnsi" w:cstheme="majorHAnsi"/>
              </w:rPr>
            </w:pPr>
          </w:p>
        </w:tc>
        <w:tc>
          <w:tcPr>
            <w:tcW w:w="1600" w:type="dxa"/>
          </w:tcPr>
          <w:p w14:paraId="7DD94727" w14:textId="77777777" w:rsidR="00BC6ACF" w:rsidRDefault="00BC6ACF" w:rsidP="002A609A">
            <w:pPr>
              <w:pStyle w:val="APDTABLE1"/>
              <w:rPr>
                <w:rFonts w:asciiTheme="majorHAnsi" w:hAnsiTheme="majorHAnsi" w:cstheme="majorHAnsi"/>
              </w:rPr>
            </w:pPr>
          </w:p>
        </w:tc>
        <w:tc>
          <w:tcPr>
            <w:tcW w:w="1600" w:type="dxa"/>
          </w:tcPr>
          <w:p w14:paraId="138B92BD" w14:textId="77777777" w:rsidR="00BC6ACF" w:rsidRDefault="00BC6ACF" w:rsidP="002A609A">
            <w:pPr>
              <w:pStyle w:val="APDTABLE1"/>
              <w:rPr>
                <w:rFonts w:asciiTheme="majorHAnsi" w:hAnsiTheme="majorHAnsi" w:cstheme="majorHAnsi"/>
              </w:rPr>
            </w:pPr>
          </w:p>
        </w:tc>
      </w:tr>
      <w:tr w:rsidR="00BC6ACF" w14:paraId="7CDA61F6" w14:textId="77777777" w:rsidTr="00BC6ACF">
        <w:trPr>
          <w:cantSplit/>
          <w:tblHeader/>
        </w:trPr>
        <w:tc>
          <w:tcPr>
            <w:tcW w:w="1600" w:type="dxa"/>
          </w:tcPr>
          <w:p w14:paraId="63E9019B" w14:textId="77777777" w:rsidR="00BC6ACF" w:rsidRDefault="00BC6ACF" w:rsidP="002A609A">
            <w:pPr>
              <w:pStyle w:val="APDTABLE1"/>
              <w:rPr>
                <w:rFonts w:asciiTheme="majorHAnsi" w:hAnsiTheme="majorHAnsi" w:cstheme="majorHAnsi"/>
              </w:rPr>
            </w:pPr>
          </w:p>
        </w:tc>
        <w:tc>
          <w:tcPr>
            <w:tcW w:w="1600" w:type="dxa"/>
          </w:tcPr>
          <w:p w14:paraId="7CEF8154" w14:textId="77777777" w:rsidR="00BC6ACF" w:rsidRDefault="00BC6ACF" w:rsidP="002A609A">
            <w:pPr>
              <w:pStyle w:val="APDTABLE1"/>
              <w:rPr>
                <w:rFonts w:asciiTheme="majorHAnsi" w:hAnsiTheme="majorHAnsi" w:cstheme="majorHAnsi"/>
              </w:rPr>
            </w:pPr>
          </w:p>
        </w:tc>
        <w:tc>
          <w:tcPr>
            <w:tcW w:w="1600" w:type="dxa"/>
          </w:tcPr>
          <w:p w14:paraId="0B41748C" w14:textId="77777777" w:rsidR="00BC6ACF" w:rsidRDefault="00BC6ACF" w:rsidP="002A609A">
            <w:pPr>
              <w:pStyle w:val="APDTABLE1"/>
              <w:rPr>
                <w:rFonts w:asciiTheme="majorHAnsi" w:hAnsiTheme="majorHAnsi" w:cstheme="majorHAnsi"/>
              </w:rPr>
            </w:pPr>
          </w:p>
        </w:tc>
        <w:tc>
          <w:tcPr>
            <w:tcW w:w="1600" w:type="dxa"/>
          </w:tcPr>
          <w:p w14:paraId="6920CA3E" w14:textId="77777777" w:rsidR="00BC6ACF" w:rsidRDefault="00BC6ACF" w:rsidP="002A609A">
            <w:pPr>
              <w:pStyle w:val="APDTABLE1"/>
              <w:rPr>
                <w:rFonts w:asciiTheme="majorHAnsi" w:hAnsiTheme="majorHAnsi" w:cstheme="majorHAnsi"/>
              </w:rPr>
            </w:pPr>
          </w:p>
        </w:tc>
        <w:tc>
          <w:tcPr>
            <w:tcW w:w="1600" w:type="dxa"/>
          </w:tcPr>
          <w:p w14:paraId="29FB8CE2" w14:textId="77777777" w:rsidR="00BC6ACF" w:rsidRDefault="00BC6ACF" w:rsidP="002A609A">
            <w:pPr>
              <w:pStyle w:val="APDTABLE1"/>
              <w:rPr>
                <w:rFonts w:asciiTheme="majorHAnsi" w:hAnsiTheme="majorHAnsi" w:cstheme="majorHAnsi"/>
              </w:rPr>
            </w:pPr>
          </w:p>
        </w:tc>
        <w:tc>
          <w:tcPr>
            <w:tcW w:w="1600" w:type="dxa"/>
          </w:tcPr>
          <w:p w14:paraId="32588435" w14:textId="77777777" w:rsidR="00BC6ACF" w:rsidRDefault="00BC6ACF" w:rsidP="002A609A">
            <w:pPr>
              <w:pStyle w:val="APDTABLE1"/>
              <w:rPr>
                <w:rFonts w:asciiTheme="majorHAnsi" w:hAnsiTheme="majorHAnsi" w:cstheme="majorHAnsi"/>
              </w:rPr>
            </w:pPr>
          </w:p>
        </w:tc>
        <w:tc>
          <w:tcPr>
            <w:tcW w:w="1600" w:type="dxa"/>
          </w:tcPr>
          <w:p w14:paraId="08D4B162" w14:textId="77777777" w:rsidR="00BC6ACF" w:rsidRDefault="00BC6ACF" w:rsidP="002A609A">
            <w:pPr>
              <w:pStyle w:val="APDTABLE1"/>
              <w:rPr>
                <w:rFonts w:asciiTheme="majorHAnsi" w:hAnsiTheme="majorHAnsi" w:cstheme="majorHAnsi"/>
              </w:rPr>
            </w:pPr>
          </w:p>
        </w:tc>
        <w:tc>
          <w:tcPr>
            <w:tcW w:w="1600" w:type="dxa"/>
          </w:tcPr>
          <w:p w14:paraId="62A5C50E" w14:textId="77777777" w:rsidR="00BC6ACF" w:rsidRDefault="00BC6ACF" w:rsidP="002A609A">
            <w:pPr>
              <w:pStyle w:val="APDTABLE1"/>
              <w:rPr>
                <w:rFonts w:asciiTheme="majorHAnsi" w:hAnsiTheme="majorHAnsi" w:cstheme="majorHAnsi"/>
              </w:rPr>
            </w:pPr>
          </w:p>
        </w:tc>
        <w:tc>
          <w:tcPr>
            <w:tcW w:w="1600" w:type="dxa"/>
          </w:tcPr>
          <w:p w14:paraId="0C859CBB" w14:textId="77777777" w:rsidR="00BC6ACF" w:rsidRDefault="00BC6ACF" w:rsidP="002A609A">
            <w:pPr>
              <w:pStyle w:val="APDTABLE1"/>
              <w:rPr>
                <w:rFonts w:asciiTheme="majorHAnsi" w:hAnsiTheme="majorHAnsi" w:cstheme="majorHAnsi"/>
              </w:rPr>
            </w:pPr>
          </w:p>
        </w:tc>
      </w:tr>
      <w:tr w:rsidR="00BC6ACF" w14:paraId="1E02BEAB" w14:textId="77777777" w:rsidTr="00BC6ACF">
        <w:trPr>
          <w:cantSplit/>
          <w:tblHeader/>
        </w:trPr>
        <w:tc>
          <w:tcPr>
            <w:tcW w:w="1600" w:type="dxa"/>
          </w:tcPr>
          <w:p w14:paraId="60ED04C4" w14:textId="77777777" w:rsidR="00BC6ACF" w:rsidRDefault="00BC6ACF" w:rsidP="002A609A">
            <w:pPr>
              <w:pStyle w:val="APDTABLE1"/>
              <w:rPr>
                <w:rFonts w:asciiTheme="majorHAnsi" w:hAnsiTheme="majorHAnsi" w:cstheme="majorHAnsi"/>
              </w:rPr>
            </w:pPr>
          </w:p>
        </w:tc>
        <w:tc>
          <w:tcPr>
            <w:tcW w:w="1600" w:type="dxa"/>
          </w:tcPr>
          <w:p w14:paraId="7FDCAA57" w14:textId="77777777" w:rsidR="00BC6ACF" w:rsidRDefault="00BC6ACF" w:rsidP="002A609A">
            <w:pPr>
              <w:pStyle w:val="APDTABLE1"/>
              <w:rPr>
                <w:rFonts w:asciiTheme="majorHAnsi" w:hAnsiTheme="majorHAnsi" w:cstheme="majorHAnsi"/>
              </w:rPr>
            </w:pPr>
          </w:p>
        </w:tc>
        <w:tc>
          <w:tcPr>
            <w:tcW w:w="1600" w:type="dxa"/>
          </w:tcPr>
          <w:p w14:paraId="4F7FD553" w14:textId="77777777" w:rsidR="00BC6ACF" w:rsidRDefault="00BC6ACF" w:rsidP="002A609A">
            <w:pPr>
              <w:pStyle w:val="APDTABLE1"/>
              <w:rPr>
                <w:rFonts w:asciiTheme="majorHAnsi" w:hAnsiTheme="majorHAnsi" w:cstheme="majorHAnsi"/>
              </w:rPr>
            </w:pPr>
          </w:p>
        </w:tc>
        <w:tc>
          <w:tcPr>
            <w:tcW w:w="1600" w:type="dxa"/>
          </w:tcPr>
          <w:p w14:paraId="7627A598" w14:textId="77777777" w:rsidR="00BC6ACF" w:rsidRDefault="00BC6ACF" w:rsidP="002A609A">
            <w:pPr>
              <w:pStyle w:val="APDTABLE1"/>
              <w:rPr>
                <w:rFonts w:asciiTheme="majorHAnsi" w:hAnsiTheme="majorHAnsi" w:cstheme="majorHAnsi"/>
              </w:rPr>
            </w:pPr>
          </w:p>
        </w:tc>
        <w:tc>
          <w:tcPr>
            <w:tcW w:w="1600" w:type="dxa"/>
          </w:tcPr>
          <w:p w14:paraId="6A08AD41" w14:textId="77777777" w:rsidR="00BC6ACF" w:rsidRDefault="00BC6ACF" w:rsidP="002A609A">
            <w:pPr>
              <w:pStyle w:val="APDTABLE1"/>
              <w:rPr>
                <w:rFonts w:asciiTheme="majorHAnsi" w:hAnsiTheme="majorHAnsi" w:cstheme="majorHAnsi"/>
              </w:rPr>
            </w:pPr>
          </w:p>
        </w:tc>
        <w:tc>
          <w:tcPr>
            <w:tcW w:w="1600" w:type="dxa"/>
          </w:tcPr>
          <w:p w14:paraId="69EB8C53" w14:textId="77777777" w:rsidR="00BC6ACF" w:rsidRDefault="00BC6ACF" w:rsidP="002A609A">
            <w:pPr>
              <w:pStyle w:val="APDTABLE1"/>
              <w:rPr>
                <w:rFonts w:asciiTheme="majorHAnsi" w:hAnsiTheme="majorHAnsi" w:cstheme="majorHAnsi"/>
              </w:rPr>
            </w:pPr>
          </w:p>
        </w:tc>
        <w:tc>
          <w:tcPr>
            <w:tcW w:w="1600" w:type="dxa"/>
          </w:tcPr>
          <w:p w14:paraId="0C7333B5" w14:textId="77777777" w:rsidR="00BC6ACF" w:rsidRDefault="00BC6ACF" w:rsidP="002A609A">
            <w:pPr>
              <w:pStyle w:val="APDTABLE1"/>
              <w:rPr>
                <w:rFonts w:asciiTheme="majorHAnsi" w:hAnsiTheme="majorHAnsi" w:cstheme="majorHAnsi"/>
              </w:rPr>
            </w:pPr>
          </w:p>
        </w:tc>
        <w:tc>
          <w:tcPr>
            <w:tcW w:w="1600" w:type="dxa"/>
          </w:tcPr>
          <w:p w14:paraId="3A935B48" w14:textId="77777777" w:rsidR="00BC6ACF" w:rsidRDefault="00BC6ACF" w:rsidP="002A609A">
            <w:pPr>
              <w:pStyle w:val="APDTABLE1"/>
              <w:rPr>
                <w:rFonts w:asciiTheme="majorHAnsi" w:hAnsiTheme="majorHAnsi" w:cstheme="majorHAnsi"/>
              </w:rPr>
            </w:pPr>
          </w:p>
        </w:tc>
        <w:tc>
          <w:tcPr>
            <w:tcW w:w="1600" w:type="dxa"/>
          </w:tcPr>
          <w:p w14:paraId="4221994C" w14:textId="77777777" w:rsidR="00BC6ACF" w:rsidRDefault="00BC6ACF" w:rsidP="002A609A">
            <w:pPr>
              <w:pStyle w:val="APDTABLE1"/>
              <w:rPr>
                <w:rFonts w:asciiTheme="majorHAnsi" w:hAnsiTheme="majorHAnsi" w:cstheme="majorHAnsi"/>
              </w:rPr>
            </w:pPr>
          </w:p>
        </w:tc>
      </w:tr>
      <w:tr w:rsidR="00BC6ACF" w14:paraId="15E5DB42" w14:textId="77777777" w:rsidTr="00BC6ACF">
        <w:trPr>
          <w:cantSplit/>
          <w:tblHeader/>
        </w:trPr>
        <w:tc>
          <w:tcPr>
            <w:tcW w:w="1600" w:type="dxa"/>
          </w:tcPr>
          <w:p w14:paraId="6A597997" w14:textId="77777777" w:rsidR="00BC6ACF" w:rsidRDefault="00BC6ACF" w:rsidP="002A609A">
            <w:pPr>
              <w:pStyle w:val="APDTABLE1"/>
              <w:rPr>
                <w:rFonts w:asciiTheme="majorHAnsi" w:hAnsiTheme="majorHAnsi" w:cstheme="majorHAnsi"/>
              </w:rPr>
            </w:pPr>
          </w:p>
        </w:tc>
        <w:tc>
          <w:tcPr>
            <w:tcW w:w="1600" w:type="dxa"/>
          </w:tcPr>
          <w:p w14:paraId="059A7D09" w14:textId="77777777" w:rsidR="00BC6ACF" w:rsidRDefault="00BC6ACF" w:rsidP="002A609A">
            <w:pPr>
              <w:pStyle w:val="APDTABLE1"/>
              <w:rPr>
                <w:rFonts w:asciiTheme="majorHAnsi" w:hAnsiTheme="majorHAnsi" w:cstheme="majorHAnsi"/>
              </w:rPr>
            </w:pPr>
          </w:p>
        </w:tc>
        <w:tc>
          <w:tcPr>
            <w:tcW w:w="1600" w:type="dxa"/>
          </w:tcPr>
          <w:p w14:paraId="12BB7A52" w14:textId="77777777" w:rsidR="00BC6ACF" w:rsidRDefault="00BC6ACF" w:rsidP="002A609A">
            <w:pPr>
              <w:pStyle w:val="APDTABLE1"/>
              <w:rPr>
                <w:rFonts w:asciiTheme="majorHAnsi" w:hAnsiTheme="majorHAnsi" w:cstheme="majorHAnsi"/>
              </w:rPr>
            </w:pPr>
          </w:p>
        </w:tc>
        <w:tc>
          <w:tcPr>
            <w:tcW w:w="1600" w:type="dxa"/>
          </w:tcPr>
          <w:p w14:paraId="3D504A2C" w14:textId="77777777" w:rsidR="00BC6ACF" w:rsidRDefault="00BC6ACF" w:rsidP="002A609A">
            <w:pPr>
              <w:pStyle w:val="APDTABLE1"/>
              <w:rPr>
                <w:rFonts w:asciiTheme="majorHAnsi" w:hAnsiTheme="majorHAnsi" w:cstheme="majorHAnsi"/>
              </w:rPr>
            </w:pPr>
          </w:p>
        </w:tc>
        <w:tc>
          <w:tcPr>
            <w:tcW w:w="1600" w:type="dxa"/>
          </w:tcPr>
          <w:p w14:paraId="4C3A3E2B" w14:textId="77777777" w:rsidR="00BC6ACF" w:rsidRDefault="00BC6ACF" w:rsidP="002A609A">
            <w:pPr>
              <w:pStyle w:val="APDTABLE1"/>
              <w:rPr>
                <w:rFonts w:asciiTheme="majorHAnsi" w:hAnsiTheme="majorHAnsi" w:cstheme="majorHAnsi"/>
              </w:rPr>
            </w:pPr>
          </w:p>
        </w:tc>
        <w:tc>
          <w:tcPr>
            <w:tcW w:w="1600" w:type="dxa"/>
          </w:tcPr>
          <w:p w14:paraId="716FDCB2" w14:textId="77777777" w:rsidR="00BC6ACF" w:rsidRDefault="00BC6ACF" w:rsidP="002A609A">
            <w:pPr>
              <w:pStyle w:val="APDTABLE1"/>
              <w:rPr>
                <w:rFonts w:asciiTheme="majorHAnsi" w:hAnsiTheme="majorHAnsi" w:cstheme="majorHAnsi"/>
              </w:rPr>
            </w:pPr>
          </w:p>
        </w:tc>
        <w:tc>
          <w:tcPr>
            <w:tcW w:w="1600" w:type="dxa"/>
          </w:tcPr>
          <w:p w14:paraId="6B729A23" w14:textId="77777777" w:rsidR="00BC6ACF" w:rsidRDefault="00BC6ACF" w:rsidP="002A609A">
            <w:pPr>
              <w:pStyle w:val="APDTABLE1"/>
              <w:rPr>
                <w:rFonts w:asciiTheme="majorHAnsi" w:hAnsiTheme="majorHAnsi" w:cstheme="majorHAnsi"/>
              </w:rPr>
            </w:pPr>
          </w:p>
        </w:tc>
        <w:tc>
          <w:tcPr>
            <w:tcW w:w="1600" w:type="dxa"/>
          </w:tcPr>
          <w:p w14:paraId="26902C20" w14:textId="77777777" w:rsidR="00BC6ACF" w:rsidRDefault="00BC6ACF" w:rsidP="002A609A">
            <w:pPr>
              <w:pStyle w:val="APDTABLE1"/>
              <w:rPr>
                <w:rFonts w:asciiTheme="majorHAnsi" w:hAnsiTheme="majorHAnsi" w:cstheme="majorHAnsi"/>
              </w:rPr>
            </w:pPr>
          </w:p>
        </w:tc>
        <w:tc>
          <w:tcPr>
            <w:tcW w:w="1600" w:type="dxa"/>
          </w:tcPr>
          <w:p w14:paraId="03F98166" w14:textId="77777777" w:rsidR="00BC6ACF" w:rsidRDefault="00BC6ACF" w:rsidP="002A609A">
            <w:pPr>
              <w:pStyle w:val="APDTABLE1"/>
              <w:rPr>
                <w:rFonts w:asciiTheme="majorHAnsi" w:hAnsiTheme="majorHAnsi" w:cstheme="majorHAnsi"/>
              </w:rPr>
            </w:pPr>
          </w:p>
        </w:tc>
      </w:tr>
      <w:tr w:rsidR="00BC6ACF" w14:paraId="6F35130E" w14:textId="77777777" w:rsidTr="00BC6ACF">
        <w:trPr>
          <w:cantSplit/>
          <w:tblHeader/>
        </w:trPr>
        <w:tc>
          <w:tcPr>
            <w:tcW w:w="1600" w:type="dxa"/>
          </w:tcPr>
          <w:p w14:paraId="2E19251B" w14:textId="77777777" w:rsidR="00BC6ACF" w:rsidRDefault="00BC6ACF" w:rsidP="002A609A">
            <w:pPr>
              <w:pStyle w:val="APDTABLE1"/>
              <w:rPr>
                <w:rFonts w:asciiTheme="majorHAnsi" w:hAnsiTheme="majorHAnsi" w:cstheme="majorHAnsi"/>
              </w:rPr>
            </w:pPr>
          </w:p>
        </w:tc>
        <w:tc>
          <w:tcPr>
            <w:tcW w:w="1600" w:type="dxa"/>
          </w:tcPr>
          <w:p w14:paraId="15B14425" w14:textId="77777777" w:rsidR="00BC6ACF" w:rsidRDefault="00BC6ACF" w:rsidP="002A609A">
            <w:pPr>
              <w:pStyle w:val="APDTABLE1"/>
              <w:rPr>
                <w:rFonts w:asciiTheme="majorHAnsi" w:hAnsiTheme="majorHAnsi" w:cstheme="majorHAnsi"/>
              </w:rPr>
            </w:pPr>
          </w:p>
        </w:tc>
        <w:tc>
          <w:tcPr>
            <w:tcW w:w="1600" w:type="dxa"/>
          </w:tcPr>
          <w:p w14:paraId="4C8FEFEB" w14:textId="77777777" w:rsidR="00BC6ACF" w:rsidRDefault="00BC6ACF" w:rsidP="002A609A">
            <w:pPr>
              <w:pStyle w:val="APDTABLE1"/>
              <w:rPr>
                <w:rFonts w:asciiTheme="majorHAnsi" w:hAnsiTheme="majorHAnsi" w:cstheme="majorHAnsi"/>
              </w:rPr>
            </w:pPr>
          </w:p>
        </w:tc>
        <w:tc>
          <w:tcPr>
            <w:tcW w:w="1600" w:type="dxa"/>
          </w:tcPr>
          <w:p w14:paraId="48F3F837" w14:textId="77777777" w:rsidR="00BC6ACF" w:rsidRDefault="00BC6ACF" w:rsidP="002A609A">
            <w:pPr>
              <w:pStyle w:val="APDTABLE1"/>
              <w:rPr>
                <w:rFonts w:asciiTheme="majorHAnsi" w:hAnsiTheme="majorHAnsi" w:cstheme="majorHAnsi"/>
              </w:rPr>
            </w:pPr>
          </w:p>
        </w:tc>
        <w:tc>
          <w:tcPr>
            <w:tcW w:w="1600" w:type="dxa"/>
          </w:tcPr>
          <w:p w14:paraId="52863AC2" w14:textId="77777777" w:rsidR="00BC6ACF" w:rsidRDefault="00BC6ACF" w:rsidP="002A609A">
            <w:pPr>
              <w:pStyle w:val="APDTABLE1"/>
              <w:rPr>
                <w:rFonts w:asciiTheme="majorHAnsi" w:hAnsiTheme="majorHAnsi" w:cstheme="majorHAnsi"/>
              </w:rPr>
            </w:pPr>
          </w:p>
        </w:tc>
        <w:tc>
          <w:tcPr>
            <w:tcW w:w="1600" w:type="dxa"/>
          </w:tcPr>
          <w:p w14:paraId="02890A15" w14:textId="77777777" w:rsidR="00BC6ACF" w:rsidRDefault="00BC6ACF" w:rsidP="002A609A">
            <w:pPr>
              <w:pStyle w:val="APDTABLE1"/>
              <w:rPr>
                <w:rFonts w:asciiTheme="majorHAnsi" w:hAnsiTheme="majorHAnsi" w:cstheme="majorHAnsi"/>
              </w:rPr>
            </w:pPr>
          </w:p>
        </w:tc>
        <w:tc>
          <w:tcPr>
            <w:tcW w:w="1600" w:type="dxa"/>
          </w:tcPr>
          <w:p w14:paraId="5E5486CB" w14:textId="77777777" w:rsidR="00BC6ACF" w:rsidRDefault="00BC6ACF" w:rsidP="002A609A">
            <w:pPr>
              <w:pStyle w:val="APDTABLE1"/>
              <w:rPr>
                <w:rFonts w:asciiTheme="majorHAnsi" w:hAnsiTheme="majorHAnsi" w:cstheme="majorHAnsi"/>
              </w:rPr>
            </w:pPr>
          </w:p>
        </w:tc>
        <w:tc>
          <w:tcPr>
            <w:tcW w:w="1600" w:type="dxa"/>
          </w:tcPr>
          <w:p w14:paraId="6BC3F84E" w14:textId="77777777" w:rsidR="00BC6ACF" w:rsidRDefault="00BC6ACF" w:rsidP="002A609A">
            <w:pPr>
              <w:pStyle w:val="APDTABLE1"/>
              <w:rPr>
                <w:rFonts w:asciiTheme="majorHAnsi" w:hAnsiTheme="majorHAnsi" w:cstheme="majorHAnsi"/>
              </w:rPr>
            </w:pPr>
          </w:p>
        </w:tc>
        <w:tc>
          <w:tcPr>
            <w:tcW w:w="1600" w:type="dxa"/>
          </w:tcPr>
          <w:p w14:paraId="5819C205" w14:textId="77777777" w:rsidR="00BC6ACF" w:rsidRDefault="00BC6ACF" w:rsidP="002A609A">
            <w:pPr>
              <w:pStyle w:val="APDTABLE1"/>
              <w:rPr>
                <w:rFonts w:asciiTheme="majorHAnsi" w:hAnsiTheme="majorHAnsi" w:cstheme="majorHAnsi"/>
              </w:rPr>
            </w:pPr>
          </w:p>
        </w:tc>
      </w:tr>
      <w:tr w:rsidR="00BC6ACF" w14:paraId="64F6F0B6" w14:textId="77777777" w:rsidTr="00BC6ACF">
        <w:trPr>
          <w:cantSplit/>
          <w:tblHeader/>
        </w:trPr>
        <w:tc>
          <w:tcPr>
            <w:tcW w:w="1600" w:type="dxa"/>
          </w:tcPr>
          <w:p w14:paraId="6228E6BC" w14:textId="77777777" w:rsidR="00BC6ACF" w:rsidRDefault="00BC6ACF" w:rsidP="002A609A">
            <w:pPr>
              <w:pStyle w:val="APDTABLE1"/>
              <w:rPr>
                <w:rFonts w:asciiTheme="majorHAnsi" w:hAnsiTheme="majorHAnsi" w:cstheme="majorHAnsi"/>
              </w:rPr>
            </w:pPr>
          </w:p>
        </w:tc>
        <w:tc>
          <w:tcPr>
            <w:tcW w:w="1600" w:type="dxa"/>
          </w:tcPr>
          <w:p w14:paraId="5628B4CE" w14:textId="77777777" w:rsidR="00BC6ACF" w:rsidRDefault="00BC6ACF" w:rsidP="002A609A">
            <w:pPr>
              <w:pStyle w:val="APDTABLE1"/>
              <w:rPr>
                <w:rFonts w:asciiTheme="majorHAnsi" w:hAnsiTheme="majorHAnsi" w:cstheme="majorHAnsi"/>
              </w:rPr>
            </w:pPr>
          </w:p>
        </w:tc>
        <w:tc>
          <w:tcPr>
            <w:tcW w:w="1600" w:type="dxa"/>
          </w:tcPr>
          <w:p w14:paraId="72AD1BFF" w14:textId="77777777" w:rsidR="00BC6ACF" w:rsidRDefault="00BC6ACF" w:rsidP="002A609A">
            <w:pPr>
              <w:pStyle w:val="APDTABLE1"/>
              <w:rPr>
                <w:rFonts w:asciiTheme="majorHAnsi" w:hAnsiTheme="majorHAnsi" w:cstheme="majorHAnsi"/>
              </w:rPr>
            </w:pPr>
          </w:p>
        </w:tc>
        <w:tc>
          <w:tcPr>
            <w:tcW w:w="1600" w:type="dxa"/>
          </w:tcPr>
          <w:p w14:paraId="76180BAE" w14:textId="77777777" w:rsidR="00BC6ACF" w:rsidRDefault="00BC6ACF" w:rsidP="002A609A">
            <w:pPr>
              <w:pStyle w:val="APDTABLE1"/>
              <w:rPr>
                <w:rFonts w:asciiTheme="majorHAnsi" w:hAnsiTheme="majorHAnsi" w:cstheme="majorHAnsi"/>
              </w:rPr>
            </w:pPr>
          </w:p>
        </w:tc>
        <w:tc>
          <w:tcPr>
            <w:tcW w:w="1600" w:type="dxa"/>
          </w:tcPr>
          <w:p w14:paraId="138510C5" w14:textId="77777777" w:rsidR="00BC6ACF" w:rsidRDefault="00BC6ACF" w:rsidP="002A609A">
            <w:pPr>
              <w:pStyle w:val="APDTABLE1"/>
              <w:rPr>
                <w:rFonts w:asciiTheme="majorHAnsi" w:hAnsiTheme="majorHAnsi" w:cstheme="majorHAnsi"/>
              </w:rPr>
            </w:pPr>
          </w:p>
        </w:tc>
        <w:tc>
          <w:tcPr>
            <w:tcW w:w="1600" w:type="dxa"/>
          </w:tcPr>
          <w:p w14:paraId="72E10119" w14:textId="77777777" w:rsidR="00BC6ACF" w:rsidRDefault="00BC6ACF" w:rsidP="002A609A">
            <w:pPr>
              <w:pStyle w:val="APDTABLE1"/>
              <w:rPr>
                <w:rFonts w:asciiTheme="majorHAnsi" w:hAnsiTheme="majorHAnsi" w:cstheme="majorHAnsi"/>
              </w:rPr>
            </w:pPr>
          </w:p>
        </w:tc>
        <w:tc>
          <w:tcPr>
            <w:tcW w:w="1600" w:type="dxa"/>
          </w:tcPr>
          <w:p w14:paraId="3CF40A61" w14:textId="77777777" w:rsidR="00BC6ACF" w:rsidRDefault="00BC6ACF" w:rsidP="002A609A">
            <w:pPr>
              <w:pStyle w:val="APDTABLE1"/>
              <w:rPr>
                <w:rFonts w:asciiTheme="majorHAnsi" w:hAnsiTheme="majorHAnsi" w:cstheme="majorHAnsi"/>
              </w:rPr>
            </w:pPr>
          </w:p>
        </w:tc>
        <w:tc>
          <w:tcPr>
            <w:tcW w:w="1600" w:type="dxa"/>
          </w:tcPr>
          <w:p w14:paraId="793EED19" w14:textId="77777777" w:rsidR="00BC6ACF" w:rsidRDefault="00BC6ACF" w:rsidP="002A609A">
            <w:pPr>
              <w:pStyle w:val="APDTABLE1"/>
              <w:rPr>
                <w:rFonts w:asciiTheme="majorHAnsi" w:hAnsiTheme="majorHAnsi" w:cstheme="majorHAnsi"/>
              </w:rPr>
            </w:pPr>
          </w:p>
        </w:tc>
        <w:tc>
          <w:tcPr>
            <w:tcW w:w="1600" w:type="dxa"/>
          </w:tcPr>
          <w:p w14:paraId="7E1ACB51" w14:textId="77777777" w:rsidR="00BC6ACF" w:rsidRDefault="00BC6ACF" w:rsidP="002A609A">
            <w:pPr>
              <w:pStyle w:val="APDTABLE1"/>
              <w:rPr>
                <w:rFonts w:asciiTheme="majorHAnsi" w:hAnsiTheme="majorHAnsi" w:cstheme="majorHAnsi"/>
              </w:rPr>
            </w:pPr>
          </w:p>
        </w:tc>
      </w:tr>
      <w:tr w:rsidR="00BC6ACF" w14:paraId="3AB2E16B" w14:textId="77777777" w:rsidTr="00BC6ACF">
        <w:trPr>
          <w:cantSplit/>
          <w:tblHeader/>
        </w:trPr>
        <w:tc>
          <w:tcPr>
            <w:tcW w:w="1600" w:type="dxa"/>
          </w:tcPr>
          <w:p w14:paraId="707D73EB" w14:textId="77777777" w:rsidR="00BC6ACF" w:rsidRDefault="00BC6ACF" w:rsidP="002A609A">
            <w:pPr>
              <w:pStyle w:val="APDTABLE1"/>
              <w:rPr>
                <w:rFonts w:asciiTheme="majorHAnsi" w:hAnsiTheme="majorHAnsi" w:cstheme="majorHAnsi"/>
              </w:rPr>
            </w:pPr>
          </w:p>
        </w:tc>
        <w:tc>
          <w:tcPr>
            <w:tcW w:w="1600" w:type="dxa"/>
          </w:tcPr>
          <w:p w14:paraId="17D4FD9A" w14:textId="77777777" w:rsidR="00BC6ACF" w:rsidRDefault="00BC6ACF" w:rsidP="002A609A">
            <w:pPr>
              <w:pStyle w:val="APDTABLE1"/>
              <w:rPr>
                <w:rFonts w:asciiTheme="majorHAnsi" w:hAnsiTheme="majorHAnsi" w:cstheme="majorHAnsi"/>
              </w:rPr>
            </w:pPr>
          </w:p>
        </w:tc>
        <w:tc>
          <w:tcPr>
            <w:tcW w:w="1600" w:type="dxa"/>
          </w:tcPr>
          <w:p w14:paraId="6111C0E7" w14:textId="77777777" w:rsidR="00BC6ACF" w:rsidRDefault="00BC6ACF" w:rsidP="002A609A">
            <w:pPr>
              <w:pStyle w:val="APDTABLE1"/>
              <w:rPr>
                <w:rFonts w:asciiTheme="majorHAnsi" w:hAnsiTheme="majorHAnsi" w:cstheme="majorHAnsi"/>
              </w:rPr>
            </w:pPr>
          </w:p>
        </w:tc>
        <w:tc>
          <w:tcPr>
            <w:tcW w:w="1600" w:type="dxa"/>
          </w:tcPr>
          <w:p w14:paraId="01225475" w14:textId="77777777" w:rsidR="00BC6ACF" w:rsidRDefault="00BC6ACF" w:rsidP="002A609A">
            <w:pPr>
              <w:pStyle w:val="APDTABLE1"/>
              <w:rPr>
                <w:rFonts w:asciiTheme="majorHAnsi" w:hAnsiTheme="majorHAnsi" w:cstheme="majorHAnsi"/>
              </w:rPr>
            </w:pPr>
          </w:p>
        </w:tc>
        <w:tc>
          <w:tcPr>
            <w:tcW w:w="1600" w:type="dxa"/>
          </w:tcPr>
          <w:p w14:paraId="1D0ECD9E" w14:textId="77777777" w:rsidR="00BC6ACF" w:rsidRDefault="00BC6ACF" w:rsidP="002A609A">
            <w:pPr>
              <w:pStyle w:val="APDTABLE1"/>
              <w:rPr>
                <w:rFonts w:asciiTheme="majorHAnsi" w:hAnsiTheme="majorHAnsi" w:cstheme="majorHAnsi"/>
              </w:rPr>
            </w:pPr>
          </w:p>
        </w:tc>
        <w:tc>
          <w:tcPr>
            <w:tcW w:w="1600" w:type="dxa"/>
          </w:tcPr>
          <w:p w14:paraId="5BF2FA51" w14:textId="77777777" w:rsidR="00BC6ACF" w:rsidRDefault="00BC6ACF" w:rsidP="002A609A">
            <w:pPr>
              <w:pStyle w:val="APDTABLE1"/>
              <w:rPr>
                <w:rFonts w:asciiTheme="majorHAnsi" w:hAnsiTheme="majorHAnsi" w:cstheme="majorHAnsi"/>
              </w:rPr>
            </w:pPr>
          </w:p>
        </w:tc>
        <w:tc>
          <w:tcPr>
            <w:tcW w:w="1600" w:type="dxa"/>
          </w:tcPr>
          <w:p w14:paraId="1379EB8E" w14:textId="77777777" w:rsidR="00BC6ACF" w:rsidRDefault="00BC6ACF" w:rsidP="002A609A">
            <w:pPr>
              <w:pStyle w:val="APDTABLE1"/>
              <w:rPr>
                <w:rFonts w:asciiTheme="majorHAnsi" w:hAnsiTheme="majorHAnsi" w:cstheme="majorHAnsi"/>
              </w:rPr>
            </w:pPr>
          </w:p>
        </w:tc>
        <w:tc>
          <w:tcPr>
            <w:tcW w:w="1600" w:type="dxa"/>
          </w:tcPr>
          <w:p w14:paraId="474E5497" w14:textId="77777777" w:rsidR="00BC6ACF" w:rsidRDefault="00BC6ACF" w:rsidP="002A609A">
            <w:pPr>
              <w:pStyle w:val="APDTABLE1"/>
              <w:rPr>
                <w:rFonts w:asciiTheme="majorHAnsi" w:hAnsiTheme="majorHAnsi" w:cstheme="majorHAnsi"/>
              </w:rPr>
            </w:pPr>
          </w:p>
        </w:tc>
        <w:tc>
          <w:tcPr>
            <w:tcW w:w="1600" w:type="dxa"/>
          </w:tcPr>
          <w:p w14:paraId="231012ED" w14:textId="77777777" w:rsidR="00BC6ACF" w:rsidRDefault="00BC6ACF" w:rsidP="002A609A">
            <w:pPr>
              <w:pStyle w:val="APDTABLE1"/>
              <w:rPr>
                <w:rFonts w:asciiTheme="majorHAnsi" w:hAnsiTheme="majorHAnsi" w:cstheme="majorHAnsi"/>
              </w:rPr>
            </w:pPr>
          </w:p>
        </w:tc>
      </w:tr>
    </w:tbl>
    <w:p w14:paraId="0336D07C" w14:textId="77777777" w:rsidR="00BC6ACF" w:rsidRPr="00DC71B0" w:rsidRDefault="00BC6ACF" w:rsidP="002A609A">
      <w:pPr>
        <w:pStyle w:val="APDTABLE1"/>
        <w:rPr>
          <w:rFonts w:asciiTheme="majorHAnsi" w:hAnsiTheme="majorHAnsi" w:cstheme="majorHAnsi"/>
        </w:rPr>
      </w:pPr>
    </w:p>
    <w:p w14:paraId="53367B74" w14:textId="77777777" w:rsidR="00BA02CB" w:rsidRPr="00DC71B0" w:rsidRDefault="00BA02CB" w:rsidP="00BC6ACF">
      <w:pPr>
        <w:pStyle w:val="HeadLevel1"/>
        <w:jc w:val="left"/>
      </w:pPr>
      <w:r w:rsidRPr="00DC71B0">
        <w:br w:type="page"/>
      </w:r>
    </w:p>
    <w:p w14:paraId="4407220E" w14:textId="77777777" w:rsidR="00002E2D" w:rsidRPr="000F6684" w:rsidRDefault="00002E2D" w:rsidP="00CE66A6">
      <w:pPr>
        <w:pStyle w:val="APDHeadingLevel1"/>
        <w:outlineLvl w:val="0"/>
      </w:pPr>
      <w:r w:rsidRPr="000F6684">
        <w:lastRenderedPageBreak/>
        <w:t>Process Heater/Furnace Attributes</w:t>
      </w:r>
    </w:p>
    <w:p w14:paraId="60B25790" w14:textId="77777777" w:rsidR="00002E2D" w:rsidRPr="000F6684" w:rsidRDefault="00002E2D" w:rsidP="00CE66A6">
      <w:pPr>
        <w:pStyle w:val="APDHeadingLevel1"/>
        <w:outlineLvl w:val="0"/>
      </w:pPr>
      <w:r w:rsidRPr="000F6684">
        <w:t>Form OP-UA5 (Page 3)</w:t>
      </w:r>
    </w:p>
    <w:p w14:paraId="34D61F68" w14:textId="77777777" w:rsidR="00002E2D" w:rsidRPr="000F6684" w:rsidRDefault="00002E2D" w:rsidP="00CE66A6">
      <w:pPr>
        <w:pStyle w:val="APDHeadingLevel1"/>
        <w:outlineLvl w:val="0"/>
      </w:pPr>
      <w:r w:rsidRPr="000F6684">
        <w:t>Federal Operating Permit Program</w:t>
      </w:r>
    </w:p>
    <w:p w14:paraId="157FA86F" w14:textId="77777777" w:rsidR="00002E2D" w:rsidRPr="000F6684" w:rsidRDefault="00002E2D" w:rsidP="00CE66A6">
      <w:pPr>
        <w:pStyle w:val="APDHeadingLevel1"/>
        <w:outlineLvl w:val="0"/>
      </w:pPr>
      <w:bookmarkStart w:id="37" w:name="TBL1c"/>
      <w:r w:rsidRPr="000F6684">
        <w:t>Table 1c</w:t>
      </w:r>
      <w:bookmarkEnd w:id="37"/>
      <w:r w:rsidRPr="000F6684">
        <w:t>: Title 30 Texas Administrative Code Chapter 117 (30 TAC Chapter 117)</w:t>
      </w:r>
    </w:p>
    <w:p w14:paraId="5D6D6105" w14:textId="77777777" w:rsidR="00002E2D" w:rsidRPr="000F6684" w:rsidRDefault="00002E2D" w:rsidP="00CE66A6">
      <w:pPr>
        <w:pStyle w:val="APDHeadingLevel1"/>
        <w:outlineLvl w:val="0"/>
      </w:pPr>
      <w:r w:rsidRPr="000F6684">
        <w:t xml:space="preserve">Subchapter B: Combustion Control at Major Industrial, Commercial, and </w:t>
      </w:r>
    </w:p>
    <w:p w14:paraId="482FED95" w14:textId="4F2FA3AD" w:rsidR="00002E2D" w:rsidRPr="000F6684" w:rsidRDefault="00002E2D" w:rsidP="00CE66A6">
      <w:pPr>
        <w:pStyle w:val="APDHeadingLevel1"/>
        <w:outlineLvl w:val="0"/>
      </w:pPr>
      <w:r w:rsidRPr="000F6684">
        <w:t>Institutional Sources in Ozone Nonattainment Areas, Process Heaters</w:t>
      </w:r>
    </w:p>
    <w:p w14:paraId="2E311CAE" w14:textId="77777777" w:rsidR="000F6684" w:rsidRPr="000F6684" w:rsidRDefault="000F6684" w:rsidP="00CE66A6">
      <w:pPr>
        <w:pStyle w:val="APDHeadingLevel1"/>
        <w:outlineLvl w:val="0"/>
      </w:pPr>
      <w:r w:rsidRPr="000F6684">
        <w:t>Texas Commission on Environmental Quality</w:t>
      </w:r>
    </w:p>
    <w:p w14:paraId="71BA5520" w14:textId="77777777" w:rsidR="006C2FB6" w:rsidRDefault="006C2FB6" w:rsidP="000F6684">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c: Title 30 Texas Administrative Code Chapter 112 (30 TAC Chapter 117)&#10;Subchapter B: Combustion Control at Major Industrial, Commercial, and Institutional Sources in Ozone Nonattainment Areas, Process Heaters&#10;&#10;&#10;"/>
      </w:tblPr>
      <w:tblGrid>
        <w:gridCol w:w="4800"/>
        <w:gridCol w:w="4800"/>
        <w:gridCol w:w="4800"/>
      </w:tblGrid>
      <w:tr w:rsidR="0093034F" w:rsidRPr="00756A95" w14:paraId="21D9D8AF" w14:textId="77777777" w:rsidTr="00F263FF">
        <w:trPr>
          <w:cantSplit/>
          <w:tblHeader/>
        </w:trPr>
        <w:tc>
          <w:tcPr>
            <w:tcW w:w="4800" w:type="dxa"/>
            <w:shd w:val="clear" w:color="auto" w:fill="D9D9D9" w:themeFill="background1" w:themeFillShade="D9"/>
          </w:tcPr>
          <w:p w14:paraId="509CC67F"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2977D7D8"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75A04DE9"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587EE848" w14:textId="77777777" w:rsidTr="00F263FF">
        <w:trPr>
          <w:cantSplit/>
          <w:tblHeader/>
        </w:trPr>
        <w:tc>
          <w:tcPr>
            <w:tcW w:w="4800" w:type="dxa"/>
          </w:tcPr>
          <w:p w14:paraId="3D5A80EC" w14:textId="77777777" w:rsidR="0093034F" w:rsidRDefault="0093034F" w:rsidP="00F263FF">
            <w:pPr>
              <w:rPr>
                <w:rFonts w:asciiTheme="majorHAnsi" w:hAnsiTheme="majorHAnsi" w:cstheme="majorHAnsi"/>
              </w:rPr>
            </w:pPr>
          </w:p>
        </w:tc>
        <w:tc>
          <w:tcPr>
            <w:tcW w:w="4800" w:type="dxa"/>
          </w:tcPr>
          <w:p w14:paraId="5410C549" w14:textId="77777777" w:rsidR="0093034F" w:rsidRDefault="0093034F" w:rsidP="00F263FF">
            <w:pPr>
              <w:rPr>
                <w:rFonts w:asciiTheme="majorHAnsi" w:hAnsiTheme="majorHAnsi" w:cstheme="majorHAnsi"/>
              </w:rPr>
            </w:pPr>
          </w:p>
        </w:tc>
        <w:tc>
          <w:tcPr>
            <w:tcW w:w="4800" w:type="dxa"/>
          </w:tcPr>
          <w:p w14:paraId="226D5C69" w14:textId="77777777" w:rsidR="0093034F" w:rsidRDefault="0093034F" w:rsidP="00F263FF">
            <w:pPr>
              <w:rPr>
                <w:rFonts w:asciiTheme="majorHAnsi" w:hAnsiTheme="majorHAnsi" w:cstheme="majorHAnsi"/>
              </w:rPr>
            </w:pPr>
          </w:p>
        </w:tc>
      </w:tr>
    </w:tbl>
    <w:p w14:paraId="47ED6A84" w14:textId="5D72FE35"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c: Title 30 Texas Administrative Code Chapter 117 (30 TAC Chapter 117) Subchapter B: Combustion Control at Major Industrial, Commercial, and Institutional Sources in Ozone Nonattainment Areas, Process Heaters&#10;"/>
      </w:tblPr>
      <w:tblGrid>
        <w:gridCol w:w="2057"/>
        <w:gridCol w:w="2057"/>
        <w:gridCol w:w="2058"/>
        <w:gridCol w:w="2057"/>
        <w:gridCol w:w="2057"/>
        <w:gridCol w:w="2057"/>
        <w:gridCol w:w="2057"/>
      </w:tblGrid>
      <w:tr w:rsidR="00A91434" w14:paraId="4FA6B370" w14:textId="77777777" w:rsidTr="00A91434">
        <w:trPr>
          <w:cantSplit/>
          <w:tblHeader/>
        </w:trPr>
        <w:tc>
          <w:tcPr>
            <w:tcW w:w="2057" w:type="dxa"/>
            <w:shd w:val="clear" w:color="auto" w:fill="D9D9D9" w:themeFill="background1" w:themeFillShade="D9"/>
            <w:vAlign w:val="center"/>
          </w:tcPr>
          <w:p w14:paraId="63DE4740" w14:textId="4415257C" w:rsidR="00A91434" w:rsidRPr="00A91434" w:rsidRDefault="00A91434" w:rsidP="00A91434">
            <w:pPr>
              <w:pStyle w:val="APDTABLE1"/>
              <w:jc w:val="center"/>
              <w:rPr>
                <w:rFonts w:asciiTheme="majorHAnsi" w:hAnsiTheme="majorHAnsi" w:cstheme="majorHAnsi"/>
                <w:sz w:val="20"/>
                <w:szCs w:val="20"/>
              </w:rPr>
            </w:pPr>
            <w:r w:rsidRPr="00A91434">
              <w:rPr>
                <w:sz w:val="20"/>
                <w:szCs w:val="20"/>
              </w:rPr>
              <w:t>Unit ID No.</w:t>
            </w:r>
          </w:p>
        </w:tc>
        <w:tc>
          <w:tcPr>
            <w:tcW w:w="2057" w:type="dxa"/>
            <w:shd w:val="clear" w:color="auto" w:fill="D9D9D9" w:themeFill="background1" w:themeFillShade="D9"/>
            <w:vAlign w:val="center"/>
          </w:tcPr>
          <w:p w14:paraId="61604454" w14:textId="7A4BD5B1" w:rsidR="00A91434" w:rsidRPr="00A91434" w:rsidRDefault="00A91434" w:rsidP="00A91434">
            <w:pPr>
              <w:pStyle w:val="APDTABLE1"/>
              <w:jc w:val="center"/>
              <w:rPr>
                <w:rFonts w:asciiTheme="majorHAnsi" w:hAnsiTheme="majorHAnsi" w:cstheme="majorHAnsi"/>
                <w:sz w:val="20"/>
                <w:szCs w:val="20"/>
              </w:rPr>
            </w:pPr>
            <w:r w:rsidRPr="00A91434">
              <w:rPr>
                <w:sz w:val="20"/>
                <w:szCs w:val="20"/>
              </w:rPr>
              <w:t>SOP/GOP Index No.</w:t>
            </w:r>
          </w:p>
        </w:tc>
        <w:tc>
          <w:tcPr>
            <w:tcW w:w="2058" w:type="dxa"/>
            <w:shd w:val="clear" w:color="auto" w:fill="D9D9D9" w:themeFill="background1" w:themeFillShade="D9"/>
            <w:vAlign w:val="center"/>
          </w:tcPr>
          <w:p w14:paraId="452A41CD" w14:textId="4A51EABA" w:rsidR="00A91434" w:rsidRPr="00A91434" w:rsidRDefault="00A91434" w:rsidP="00A91434">
            <w:pPr>
              <w:pStyle w:val="APDTABLE1"/>
              <w:jc w:val="center"/>
              <w:rPr>
                <w:rFonts w:asciiTheme="majorHAnsi" w:hAnsiTheme="majorHAnsi" w:cstheme="majorHAnsi"/>
                <w:sz w:val="20"/>
                <w:szCs w:val="20"/>
              </w:rPr>
            </w:pPr>
            <w:r w:rsidRPr="00A91434">
              <w:rPr>
                <w:sz w:val="20"/>
                <w:szCs w:val="20"/>
              </w:rPr>
              <w:t>Fuel Flow Monitoring</w:t>
            </w:r>
          </w:p>
        </w:tc>
        <w:tc>
          <w:tcPr>
            <w:tcW w:w="2057" w:type="dxa"/>
            <w:shd w:val="clear" w:color="auto" w:fill="D9D9D9" w:themeFill="background1" w:themeFillShade="D9"/>
            <w:vAlign w:val="center"/>
          </w:tcPr>
          <w:p w14:paraId="012B35E9" w14:textId="43A6AC20" w:rsidR="00A91434" w:rsidRPr="00A91434" w:rsidRDefault="00A91434" w:rsidP="00A91434">
            <w:pPr>
              <w:pStyle w:val="APDTABLE1"/>
              <w:jc w:val="center"/>
              <w:rPr>
                <w:rFonts w:asciiTheme="majorHAnsi" w:hAnsiTheme="majorHAnsi" w:cstheme="majorHAnsi"/>
                <w:sz w:val="20"/>
                <w:szCs w:val="20"/>
              </w:rPr>
            </w:pPr>
            <w:r w:rsidRPr="00A91434">
              <w:rPr>
                <w:sz w:val="20"/>
                <w:szCs w:val="20"/>
              </w:rPr>
              <w:t>CO Emission Limitation</w:t>
            </w:r>
          </w:p>
        </w:tc>
        <w:tc>
          <w:tcPr>
            <w:tcW w:w="2057" w:type="dxa"/>
            <w:shd w:val="clear" w:color="auto" w:fill="D9D9D9" w:themeFill="background1" w:themeFillShade="D9"/>
            <w:vAlign w:val="center"/>
          </w:tcPr>
          <w:p w14:paraId="71BFD65A" w14:textId="6C261732" w:rsidR="00A91434" w:rsidRPr="00A91434" w:rsidRDefault="00A91434" w:rsidP="00A91434">
            <w:pPr>
              <w:pStyle w:val="APDTABLE1"/>
              <w:jc w:val="center"/>
              <w:rPr>
                <w:rFonts w:asciiTheme="majorHAnsi" w:hAnsiTheme="majorHAnsi" w:cstheme="majorHAnsi"/>
                <w:sz w:val="20"/>
                <w:szCs w:val="20"/>
              </w:rPr>
            </w:pPr>
            <w:r w:rsidRPr="00A91434">
              <w:rPr>
                <w:sz w:val="20"/>
                <w:szCs w:val="20"/>
              </w:rPr>
              <w:t>CO Monitoring System</w:t>
            </w:r>
          </w:p>
        </w:tc>
        <w:tc>
          <w:tcPr>
            <w:tcW w:w="2057" w:type="dxa"/>
            <w:shd w:val="clear" w:color="auto" w:fill="D9D9D9" w:themeFill="background1" w:themeFillShade="D9"/>
            <w:vAlign w:val="center"/>
          </w:tcPr>
          <w:p w14:paraId="678F2910" w14:textId="0C54D5A0" w:rsidR="00A91434" w:rsidRPr="00A91434" w:rsidRDefault="00A91434" w:rsidP="00A91434">
            <w:pPr>
              <w:pStyle w:val="APDTABLE1"/>
              <w:jc w:val="center"/>
              <w:rPr>
                <w:rFonts w:asciiTheme="majorHAnsi" w:hAnsiTheme="majorHAnsi" w:cstheme="majorHAnsi"/>
                <w:sz w:val="20"/>
                <w:szCs w:val="20"/>
              </w:rPr>
            </w:pPr>
            <w:r w:rsidRPr="00A91434">
              <w:rPr>
                <w:sz w:val="20"/>
                <w:szCs w:val="20"/>
              </w:rPr>
              <w:t>NH3 Emission Limitation</w:t>
            </w:r>
          </w:p>
        </w:tc>
        <w:tc>
          <w:tcPr>
            <w:tcW w:w="2057" w:type="dxa"/>
            <w:shd w:val="clear" w:color="auto" w:fill="D9D9D9" w:themeFill="background1" w:themeFillShade="D9"/>
            <w:vAlign w:val="center"/>
          </w:tcPr>
          <w:p w14:paraId="7A27459E" w14:textId="2D94035D" w:rsidR="00A91434" w:rsidRPr="00A91434" w:rsidRDefault="00A91434" w:rsidP="00A91434">
            <w:pPr>
              <w:pStyle w:val="APDTABLE1"/>
              <w:jc w:val="center"/>
              <w:rPr>
                <w:rFonts w:asciiTheme="majorHAnsi" w:hAnsiTheme="majorHAnsi" w:cstheme="majorHAnsi"/>
                <w:sz w:val="20"/>
                <w:szCs w:val="20"/>
              </w:rPr>
            </w:pPr>
            <w:r w:rsidRPr="00A91434">
              <w:rPr>
                <w:sz w:val="20"/>
                <w:szCs w:val="20"/>
              </w:rPr>
              <w:t>NH3 Monitoring</w:t>
            </w:r>
          </w:p>
        </w:tc>
      </w:tr>
      <w:tr w:rsidR="00A91434" w14:paraId="6E691596" w14:textId="77777777" w:rsidTr="00A91434">
        <w:trPr>
          <w:cantSplit/>
          <w:tblHeader/>
        </w:trPr>
        <w:tc>
          <w:tcPr>
            <w:tcW w:w="2057" w:type="dxa"/>
          </w:tcPr>
          <w:p w14:paraId="493E9F09" w14:textId="77777777" w:rsidR="00A91434" w:rsidRDefault="00A91434" w:rsidP="002A609A">
            <w:pPr>
              <w:pStyle w:val="APDTABLE1"/>
              <w:rPr>
                <w:rFonts w:asciiTheme="majorHAnsi" w:hAnsiTheme="majorHAnsi" w:cstheme="majorHAnsi"/>
              </w:rPr>
            </w:pPr>
          </w:p>
        </w:tc>
        <w:tc>
          <w:tcPr>
            <w:tcW w:w="2057" w:type="dxa"/>
          </w:tcPr>
          <w:p w14:paraId="026803D3" w14:textId="77777777" w:rsidR="00A91434" w:rsidRDefault="00A91434" w:rsidP="002A609A">
            <w:pPr>
              <w:pStyle w:val="APDTABLE1"/>
              <w:rPr>
                <w:rFonts w:asciiTheme="majorHAnsi" w:hAnsiTheme="majorHAnsi" w:cstheme="majorHAnsi"/>
              </w:rPr>
            </w:pPr>
          </w:p>
        </w:tc>
        <w:tc>
          <w:tcPr>
            <w:tcW w:w="2058" w:type="dxa"/>
          </w:tcPr>
          <w:p w14:paraId="6B676A2D" w14:textId="77777777" w:rsidR="00A91434" w:rsidRDefault="00A91434" w:rsidP="002A609A">
            <w:pPr>
              <w:pStyle w:val="APDTABLE1"/>
              <w:rPr>
                <w:rFonts w:asciiTheme="majorHAnsi" w:hAnsiTheme="majorHAnsi" w:cstheme="majorHAnsi"/>
              </w:rPr>
            </w:pPr>
          </w:p>
        </w:tc>
        <w:tc>
          <w:tcPr>
            <w:tcW w:w="2057" w:type="dxa"/>
          </w:tcPr>
          <w:p w14:paraId="796126D9" w14:textId="77777777" w:rsidR="00A91434" w:rsidRDefault="00A91434" w:rsidP="002A609A">
            <w:pPr>
              <w:pStyle w:val="APDTABLE1"/>
              <w:rPr>
                <w:rFonts w:asciiTheme="majorHAnsi" w:hAnsiTheme="majorHAnsi" w:cstheme="majorHAnsi"/>
              </w:rPr>
            </w:pPr>
          </w:p>
        </w:tc>
        <w:tc>
          <w:tcPr>
            <w:tcW w:w="2057" w:type="dxa"/>
          </w:tcPr>
          <w:p w14:paraId="1F1C5655" w14:textId="77777777" w:rsidR="00A91434" w:rsidRDefault="00A91434" w:rsidP="002A609A">
            <w:pPr>
              <w:pStyle w:val="APDTABLE1"/>
              <w:rPr>
                <w:rFonts w:asciiTheme="majorHAnsi" w:hAnsiTheme="majorHAnsi" w:cstheme="majorHAnsi"/>
              </w:rPr>
            </w:pPr>
          </w:p>
        </w:tc>
        <w:tc>
          <w:tcPr>
            <w:tcW w:w="2057" w:type="dxa"/>
          </w:tcPr>
          <w:p w14:paraId="1D28CC54" w14:textId="77777777" w:rsidR="00A91434" w:rsidRDefault="00A91434" w:rsidP="002A609A">
            <w:pPr>
              <w:pStyle w:val="APDTABLE1"/>
              <w:rPr>
                <w:rFonts w:asciiTheme="majorHAnsi" w:hAnsiTheme="majorHAnsi" w:cstheme="majorHAnsi"/>
              </w:rPr>
            </w:pPr>
          </w:p>
        </w:tc>
        <w:tc>
          <w:tcPr>
            <w:tcW w:w="2057" w:type="dxa"/>
          </w:tcPr>
          <w:p w14:paraId="41337700" w14:textId="77777777" w:rsidR="00A91434" w:rsidRDefault="00A91434" w:rsidP="002A609A">
            <w:pPr>
              <w:pStyle w:val="APDTABLE1"/>
              <w:rPr>
                <w:rFonts w:asciiTheme="majorHAnsi" w:hAnsiTheme="majorHAnsi" w:cstheme="majorHAnsi"/>
              </w:rPr>
            </w:pPr>
          </w:p>
        </w:tc>
      </w:tr>
      <w:tr w:rsidR="00A91434" w14:paraId="34A8FBB6" w14:textId="77777777" w:rsidTr="00A91434">
        <w:trPr>
          <w:cantSplit/>
          <w:tblHeader/>
        </w:trPr>
        <w:tc>
          <w:tcPr>
            <w:tcW w:w="2057" w:type="dxa"/>
          </w:tcPr>
          <w:p w14:paraId="506E0C7C" w14:textId="77777777" w:rsidR="00A91434" w:rsidRDefault="00A91434" w:rsidP="002A609A">
            <w:pPr>
              <w:pStyle w:val="APDTABLE1"/>
              <w:rPr>
                <w:rFonts w:asciiTheme="majorHAnsi" w:hAnsiTheme="majorHAnsi" w:cstheme="majorHAnsi"/>
              </w:rPr>
            </w:pPr>
          </w:p>
        </w:tc>
        <w:tc>
          <w:tcPr>
            <w:tcW w:w="2057" w:type="dxa"/>
          </w:tcPr>
          <w:p w14:paraId="28E1C797" w14:textId="77777777" w:rsidR="00A91434" w:rsidRDefault="00A91434" w:rsidP="002A609A">
            <w:pPr>
              <w:pStyle w:val="APDTABLE1"/>
              <w:rPr>
                <w:rFonts w:asciiTheme="majorHAnsi" w:hAnsiTheme="majorHAnsi" w:cstheme="majorHAnsi"/>
              </w:rPr>
            </w:pPr>
          </w:p>
        </w:tc>
        <w:tc>
          <w:tcPr>
            <w:tcW w:w="2058" w:type="dxa"/>
          </w:tcPr>
          <w:p w14:paraId="78B2BDD3" w14:textId="77777777" w:rsidR="00A91434" w:rsidRDefault="00A91434" w:rsidP="002A609A">
            <w:pPr>
              <w:pStyle w:val="APDTABLE1"/>
              <w:rPr>
                <w:rFonts w:asciiTheme="majorHAnsi" w:hAnsiTheme="majorHAnsi" w:cstheme="majorHAnsi"/>
              </w:rPr>
            </w:pPr>
          </w:p>
        </w:tc>
        <w:tc>
          <w:tcPr>
            <w:tcW w:w="2057" w:type="dxa"/>
          </w:tcPr>
          <w:p w14:paraId="7C293CE9" w14:textId="77777777" w:rsidR="00A91434" w:rsidRDefault="00A91434" w:rsidP="002A609A">
            <w:pPr>
              <w:pStyle w:val="APDTABLE1"/>
              <w:rPr>
                <w:rFonts w:asciiTheme="majorHAnsi" w:hAnsiTheme="majorHAnsi" w:cstheme="majorHAnsi"/>
              </w:rPr>
            </w:pPr>
          </w:p>
        </w:tc>
        <w:tc>
          <w:tcPr>
            <w:tcW w:w="2057" w:type="dxa"/>
          </w:tcPr>
          <w:p w14:paraId="5512C130" w14:textId="77777777" w:rsidR="00A91434" w:rsidRDefault="00A91434" w:rsidP="002A609A">
            <w:pPr>
              <w:pStyle w:val="APDTABLE1"/>
              <w:rPr>
                <w:rFonts w:asciiTheme="majorHAnsi" w:hAnsiTheme="majorHAnsi" w:cstheme="majorHAnsi"/>
              </w:rPr>
            </w:pPr>
          </w:p>
        </w:tc>
        <w:tc>
          <w:tcPr>
            <w:tcW w:w="2057" w:type="dxa"/>
          </w:tcPr>
          <w:p w14:paraId="4B8A22BB" w14:textId="77777777" w:rsidR="00A91434" w:rsidRDefault="00A91434" w:rsidP="002A609A">
            <w:pPr>
              <w:pStyle w:val="APDTABLE1"/>
              <w:rPr>
                <w:rFonts w:asciiTheme="majorHAnsi" w:hAnsiTheme="majorHAnsi" w:cstheme="majorHAnsi"/>
              </w:rPr>
            </w:pPr>
          </w:p>
        </w:tc>
        <w:tc>
          <w:tcPr>
            <w:tcW w:w="2057" w:type="dxa"/>
          </w:tcPr>
          <w:p w14:paraId="0D63470A" w14:textId="77777777" w:rsidR="00A91434" w:rsidRDefault="00A91434" w:rsidP="002A609A">
            <w:pPr>
              <w:pStyle w:val="APDTABLE1"/>
              <w:rPr>
                <w:rFonts w:asciiTheme="majorHAnsi" w:hAnsiTheme="majorHAnsi" w:cstheme="majorHAnsi"/>
              </w:rPr>
            </w:pPr>
          </w:p>
        </w:tc>
      </w:tr>
      <w:tr w:rsidR="00A91434" w14:paraId="52DC5A5F" w14:textId="77777777" w:rsidTr="00A91434">
        <w:trPr>
          <w:cantSplit/>
          <w:tblHeader/>
        </w:trPr>
        <w:tc>
          <w:tcPr>
            <w:tcW w:w="2057" w:type="dxa"/>
          </w:tcPr>
          <w:p w14:paraId="51CD4DFB" w14:textId="77777777" w:rsidR="00A91434" w:rsidRDefault="00A91434" w:rsidP="002A609A">
            <w:pPr>
              <w:pStyle w:val="APDTABLE1"/>
              <w:rPr>
                <w:rFonts w:asciiTheme="majorHAnsi" w:hAnsiTheme="majorHAnsi" w:cstheme="majorHAnsi"/>
              </w:rPr>
            </w:pPr>
          </w:p>
        </w:tc>
        <w:tc>
          <w:tcPr>
            <w:tcW w:w="2057" w:type="dxa"/>
          </w:tcPr>
          <w:p w14:paraId="4C35805B" w14:textId="77777777" w:rsidR="00A91434" w:rsidRDefault="00A91434" w:rsidP="002A609A">
            <w:pPr>
              <w:pStyle w:val="APDTABLE1"/>
              <w:rPr>
                <w:rFonts w:asciiTheme="majorHAnsi" w:hAnsiTheme="majorHAnsi" w:cstheme="majorHAnsi"/>
              </w:rPr>
            </w:pPr>
          </w:p>
        </w:tc>
        <w:tc>
          <w:tcPr>
            <w:tcW w:w="2058" w:type="dxa"/>
          </w:tcPr>
          <w:p w14:paraId="3B8A0BA9" w14:textId="77777777" w:rsidR="00A91434" w:rsidRDefault="00A91434" w:rsidP="002A609A">
            <w:pPr>
              <w:pStyle w:val="APDTABLE1"/>
              <w:rPr>
                <w:rFonts w:asciiTheme="majorHAnsi" w:hAnsiTheme="majorHAnsi" w:cstheme="majorHAnsi"/>
              </w:rPr>
            </w:pPr>
          </w:p>
        </w:tc>
        <w:tc>
          <w:tcPr>
            <w:tcW w:w="2057" w:type="dxa"/>
          </w:tcPr>
          <w:p w14:paraId="39EE1BC0" w14:textId="77777777" w:rsidR="00A91434" w:rsidRDefault="00A91434" w:rsidP="002A609A">
            <w:pPr>
              <w:pStyle w:val="APDTABLE1"/>
              <w:rPr>
                <w:rFonts w:asciiTheme="majorHAnsi" w:hAnsiTheme="majorHAnsi" w:cstheme="majorHAnsi"/>
              </w:rPr>
            </w:pPr>
          </w:p>
        </w:tc>
        <w:tc>
          <w:tcPr>
            <w:tcW w:w="2057" w:type="dxa"/>
          </w:tcPr>
          <w:p w14:paraId="7EAB67EB" w14:textId="77777777" w:rsidR="00A91434" w:rsidRDefault="00A91434" w:rsidP="002A609A">
            <w:pPr>
              <w:pStyle w:val="APDTABLE1"/>
              <w:rPr>
                <w:rFonts w:asciiTheme="majorHAnsi" w:hAnsiTheme="majorHAnsi" w:cstheme="majorHAnsi"/>
              </w:rPr>
            </w:pPr>
          </w:p>
        </w:tc>
        <w:tc>
          <w:tcPr>
            <w:tcW w:w="2057" w:type="dxa"/>
          </w:tcPr>
          <w:p w14:paraId="10BE940A" w14:textId="77777777" w:rsidR="00A91434" w:rsidRDefault="00A91434" w:rsidP="002A609A">
            <w:pPr>
              <w:pStyle w:val="APDTABLE1"/>
              <w:rPr>
                <w:rFonts w:asciiTheme="majorHAnsi" w:hAnsiTheme="majorHAnsi" w:cstheme="majorHAnsi"/>
              </w:rPr>
            </w:pPr>
          </w:p>
        </w:tc>
        <w:tc>
          <w:tcPr>
            <w:tcW w:w="2057" w:type="dxa"/>
          </w:tcPr>
          <w:p w14:paraId="7A420C3C" w14:textId="77777777" w:rsidR="00A91434" w:rsidRDefault="00A91434" w:rsidP="002A609A">
            <w:pPr>
              <w:pStyle w:val="APDTABLE1"/>
              <w:rPr>
                <w:rFonts w:asciiTheme="majorHAnsi" w:hAnsiTheme="majorHAnsi" w:cstheme="majorHAnsi"/>
              </w:rPr>
            </w:pPr>
          </w:p>
        </w:tc>
      </w:tr>
      <w:tr w:rsidR="00A91434" w14:paraId="3A659B3B" w14:textId="77777777" w:rsidTr="00A91434">
        <w:trPr>
          <w:cantSplit/>
          <w:tblHeader/>
        </w:trPr>
        <w:tc>
          <w:tcPr>
            <w:tcW w:w="2057" w:type="dxa"/>
          </w:tcPr>
          <w:p w14:paraId="6A83E306" w14:textId="77777777" w:rsidR="00A91434" w:rsidRDefault="00A91434" w:rsidP="002A609A">
            <w:pPr>
              <w:pStyle w:val="APDTABLE1"/>
              <w:rPr>
                <w:rFonts w:asciiTheme="majorHAnsi" w:hAnsiTheme="majorHAnsi" w:cstheme="majorHAnsi"/>
              </w:rPr>
            </w:pPr>
          </w:p>
        </w:tc>
        <w:tc>
          <w:tcPr>
            <w:tcW w:w="2057" w:type="dxa"/>
          </w:tcPr>
          <w:p w14:paraId="60A94853" w14:textId="77777777" w:rsidR="00A91434" w:rsidRDefault="00A91434" w:rsidP="002A609A">
            <w:pPr>
              <w:pStyle w:val="APDTABLE1"/>
              <w:rPr>
                <w:rFonts w:asciiTheme="majorHAnsi" w:hAnsiTheme="majorHAnsi" w:cstheme="majorHAnsi"/>
              </w:rPr>
            </w:pPr>
          </w:p>
        </w:tc>
        <w:tc>
          <w:tcPr>
            <w:tcW w:w="2058" w:type="dxa"/>
          </w:tcPr>
          <w:p w14:paraId="59488E9D" w14:textId="77777777" w:rsidR="00A91434" w:rsidRDefault="00A91434" w:rsidP="002A609A">
            <w:pPr>
              <w:pStyle w:val="APDTABLE1"/>
              <w:rPr>
                <w:rFonts w:asciiTheme="majorHAnsi" w:hAnsiTheme="majorHAnsi" w:cstheme="majorHAnsi"/>
              </w:rPr>
            </w:pPr>
          </w:p>
        </w:tc>
        <w:tc>
          <w:tcPr>
            <w:tcW w:w="2057" w:type="dxa"/>
          </w:tcPr>
          <w:p w14:paraId="4F93FD8B" w14:textId="77777777" w:rsidR="00A91434" w:rsidRDefault="00A91434" w:rsidP="002A609A">
            <w:pPr>
              <w:pStyle w:val="APDTABLE1"/>
              <w:rPr>
                <w:rFonts w:asciiTheme="majorHAnsi" w:hAnsiTheme="majorHAnsi" w:cstheme="majorHAnsi"/>
              </w:rPr>
            </w:pPr>
          </w:p>
        </w:tc>
        <w:tc>
          <w:tcPr>
            <w:tcW w:w="2057" w:type="dxa"/>
          </w:tcPr>
          <w:p w14:paraId="7B729589" w14:textId="77777777" w:rsidR="00A91434" w:rsidRDefault="00A91434" w:rsidP="002A609A">
            <w:pPr>
              <w:pStyle w:val="APDTABLE1"/>
              <w:rPr>
                <w:rFonts w:asciiTheme="majorHAnsi" w:hAnsiTheme="majorHAnsi" w:cstheme="majorHAnsi"/>
              </w:rPr>
            </w:pPr>
          </w:p>
        </w:tc>
        <w:tc>
          <w:tcPr>
            <w:tcW w:w="2057" w:type="dxa"/>
          </w:tcPr>
          <w:p w14:paraId="75DF9304" w14:textId="77777777" w:rsidR="00A91434" w:rsidRDefault="00A91434" w:rsidP="002A609A">
            <w:pPr>
              <w:pStyle w:val="APDTABLE1"/>
              <w:rPr>
                <w:rFonts w:asciiTheme="majorHAnsi" w:hAnsiTheme="majorHAnsi" w:cstheme="majorHAnsi"/>
              </w:rPr>
            </w:pPr>
          </w:p>
        </w:tc>
        <w:tc>
          <w:tcPr>
            <w:tcW w:w="2057" w:type="dxa"/>
          </w:tcPr>
          <w:p w14:paraId="1D17F02C" w14:textId="77777777" w:rsidR="00A91434" w:rsidRDefault="00A91434" w:rsidP="002A609A">
            <w:pPr>
              <w:pStyle w:val="APDTABLE1"/>
              <w:rPr>
                <w:rFonts w:asciiTheme="majorHAnsi" w:hAnsiTheme="majorHAnsi" w:cstheme="majorHAnsi"/>
              </w:rPr>
            </w:pPr>
          </w:p>
        </w:tc>
      </w:tr>
      <w:tr w:rsidR="00A91434" w14:paraId="165C905A" w14:textId="77777777" w:rsidTr="00A91434">
        <w:trPr>
          <w:cantSplit/>
          <w:tblHeader/>
        </w:trPr>
        <w:tc>
          <w:tcPr>
            <w:tcW w:w="2057" w:type="dxa"/>
          </w:tcPr>
          <w:p w14:paraId="6700F8B4" w14:textId="77777777" w:rsidR="00A91434" w:rsidRDefault="00A91434" w:rsidP="002A609A">
            <w:pPr>
              <w:pStyle w:val="APDTABLE1"/>
              <w:rPr>
                <w:rFonts w:asciiTheme="majorHAnsi" w:hAnsiTheme="majorHAnsi" w:cstheme="majorHAnsi"/>
              </w:rPr>
            </w:pPr>
          </w:p>
        </w:tc>
        <w:tc>
          <w:tcPr>
            <w:tcW w:w="2057" w:type="dxa"/>
          </w:tcPr>
          <w:p w14:paraId="2B51FC2A" w14:textId="77777777" w:rsidR="00A91434" w:rsidRDefault="00A91434" w:rsidP="002A609A">
            <w:pPr>
              <w:pStyle w:val="APDTABLE1"/>
              <w:rPr>
                <w:rFonts w:asciiTheme="majorHAnsi" w:hAnsiTheme="majorHAnsi" w:cstheme="majorHAnsi"/>
              </w:rPr>
            </w:pPr>
          </w:p>
        </w:tc>
        <w:tc>
          <w:tcPr>
            <w:tcW w:w="2058" w:type="dxa"/>
          </w:tcPr>
          <w:p w14:paraId="0343AAE2" w14:textId="77777777" w:rsidR="00A91434" w:rsidRDefault="00A91434" w:rsidP="002A609A">
            <w:pPr>
              <w:pStyle w:val="APDTABLE1"/>
              <w:rPr>
                <w:rFonts w:asciiTheme="majorHAnsi" w:hAnsiTheme="majorHAnsi" w:cstheme="majorHAnsi"/>
              </w:rPr>
            </w:pPr>
          </w:p>
        </w:tc>
        <w:tc>
          <w:tcPr>
            <w:tcW w:w="2057" w:type="dxa"/>
          </w:tcPr>
          <w:p w14:paraId="55FF487D" w14:textId="77777777" w:rsidR="00A91434" w:rsidRDefault="00A91434" w:rsidP="002A609A">
            <w:pPr>
              <w:pStyle w:val="APDTABLE1"/>
              <w:rPr>
                <w:rFonts w:asciiTheme="majorHAnsi" w:hAnsiTheme="majorHAnsi" w:cstheme="majorHAnsi"/>
              </w:rPr>
            </w:pPr>
          </w:p>
        </w:tc>
        <w:tc>
          <w:tcPr>
            <w:tcW w:w="2057" w:type="dxa"/>
          </w:tcPr>
          <w:p w14:paraId="3D8CB995" w14:textId="77777777" w:rsidR="00A91434" w:rsidRDefault="00A91434" w:rsidP="002A609A">
            <w:pPr>
              <w:pStyle w:val="APDTABLE1"/>
              <w:rPr>
                <w:rFonts w:asciiTheme="majorHAnsi" w:hAnsiTheme="majorHAnsi" w:cstheme="majorHAnsi"/>
              </w:rPr>
            </w:pPr>
          </w:p>
        </w:tc>
        <w:tc>
          <w:tcPr>
            <w:tcW w:w="2057" w:type="dxa"/>
          </w:tcPr>
          <w:p w14:paraId="5AB84F43" w14:textId="77777777" w:rsidR="00A91434" w:rsidRDefault="00A91434" w:rsidP="002A609A">
            <w:pPr>
              <w:pStyle w:val="APDTABLE1"/>
              <w:rPr>
                <w:rFonts w:asciiTheme="majorHAnsi" w:hAnsiTheme="majorHAnsi" w:cstheme="majorHAnsi"/>
              </w:rPr>
            </w:pPr>
          </w:p>
        </w:tc>
        <w:tc>
          <w:tcPr>
            <w:tcW w:w="2057" w:type="dxa"/>
          </w:tcPr>
          <w:p w14:paraId="6BC597C7" w14:textId="77777777" w:rsidR="00A91434" w:rsidRDefault="00A91434" w:rsidP="002A609A">
            <w:pPr>
              <w:pStyle w:val="APDTABLE1"/>
              <w:rPr>
                <w:rFonts w:asciiTheme="majorHAnsi" w:hAnsiTheme="majorHAnsi" w:cstheme="majorHAnsi"/>
              </w:rPr>
            </w:pPr>
          </w:p>
        </w:tc>
      </w:tr>
      <w:tr w:rsidR="00A91434" w14:paraId="797FC3E4" w14:textId="77777777" w:rsidTr="00A91434">
        <w:trPr>
          <w:cantSplit/>
          <w:tblHeader/>
        </w:trPr>
        <w:tc>
          <w:tcPr>
            <w:tcW w:w="2057" w:type="dxa"/>
          </w:tcPr>
          <w:p w14:paraId="781A8543" w14:textId="77777777" w:rsidR="00A91434" w:rsidRDefault="00A91434" w:rsidP="002A609A">
            <w:pPr>
              <w:pStyle w:val="APDTABLE1"/>
              <w:rPr>
                <w:rFonts w:asciiTheme="majorHAnsi" w:hAnsiTheme="majorHAnsi" w:cstheme="majorHAnsi"/>
              </w:rPr>
            </w:pPr>
          </w:p>
        </w:tc>
        <w:tc>
          <w:tcPr>
            <w:tcW w:w="2057" w:type="dxa"/>
          </w:tcPr>
          <w:p w14:paraId="2C7760DD" w14:textId="77777777" w:rsidR="00A91434" w:rsidRDefault="00A91434" w:rsidP="002A609A">
            <w:pPr>
              <w:pStyle w:val="APDTABLE1"/>
              <w:rPr>
                <w:rFonts w:asciiTheme="majorHAnsi" w:hAnsiTheme="majorHAnsi" w:cstheme="majorHAnsi"/>
              </w:rPr>
            </w:pPr>
          </w:p>
        </w:tc>
        <w:tc>
          <w:tcPr>
            <w:tcW w:w="2058" w:type="dxa"/>
          </w:tcPr>
          <w:p w14:paraId="7ACBCC22" w14:textId="77777777" w:rsidR="00A91434" w:rsidRDefault="00A91434" w:rsidP="002A609A">
            <w:pPr>
              <w:pStyle w:val="APDTABLE1"/>
              <w:rPr>
                <w:rFonts w:asciiTheme="majorHAnsi" w:hAnsiTheme="majorHAnsi" w:cstheme="majorHAnsi"/>
              </w:rPr>
            </w:pPr>
          </w:p>
        </w:tc>
        <w:tc>
          <w:tcPr>
            <w:tcW w:w="2057" w:type="dxa"/>
          </w:tcPr>
          <w:p w14:paraId="776329FC" w14:textId="77777777" w:rsidR="00A91434" w:rsidRDefault="00A91434" w:rsidP="002A609A">
            <w:pPr>
              <w:pStyle w:val="APDTABLE1"/>
              <w:rPr>
                <w:rFonts w:asciiTheme="majorHAnsi" w:hAnsiTheme="majorHAnsi" w:cstheme="majorHAnsi"/>
              </w:rPr>
            </w:pPr>
          </w:p>
        </w:tc>
        <w:tc>
          <w:tcPr>
            <w:tcW w:w="2057" w:type="dxa"/>
          </w:tcPr>
          <w:p w14:paraId="324EAFA5" w14:textId="77777777" w:rsidR="00A91434" w:rsidRDefault="00A91434" w:rsidP="002A609A">
            <w:pPr>
              <w:pStyle w:val="APDTABLE1"/>
              <w:rPr>
                <w:rFonts w:asciiTheme="majorHAnsi" w:hAnsiTheme="majorHAnsi" w:cstheme="majorHAnsi"/>
              </w:rPr>
            </w:pPr>
          </w:p>
        </w:tc>
        <w:tc>
          <w:tcPr>
            <w:tcW w:w="2057" w:type="dxa"/>
          </w:tcPr>
          <w:p w14:paraId="0FB5139A" w14:textId="77777777" w:rsidR="00A91434" w:rsidRDefault="00A91434" w:rsidP="002A609A">
            <w:pPr>
              <w:pStyle w:val="APDTABLE1"/>
              <w:rPr>
                <w:rFonts w:asciiTheme="majorHAnsi" w:hAnsiTheme="majorHAnsi" w:cstheme="majorHAnsi"/>
              </w:rPr>
            </w:pPr>
          </w:p>
        </w:tc>
        <w:tc>
          <w:tcPr>
            <w:tcW w:w="2057" w:type="dxa"/>
          </w:tcPr>
          <w:p w14:paraId="30BDB970" w14:textId="77777777" w:rsidR="00A91434" w:rsidRDefault="00A91434" w:rsidP="002A609A">
            <w:pPr>
              <w:pStyle w:val="APDTABLE1"/>
              <w:rPr>
                <w:rFonts w:asciiTheme="majorHAnsi" w:hAnsiTheme="majorHAnsi" w:cstheme="majorHAnsi"/>
              </w:rPr>
            </w:pPr>
          </w:p>
        </w:tc>
      </w:tr>
      <w:tr w:rsidR="00A91434" w14:paraId="0D270973" w14:textId="77777777" w:rsidTr="00A91434">
        <w:trPr>
          <w:cantSplit/>
          <w:tblHeader/>
        </w:trPr>
        <w:tc>
          <w:tcPr>
            <w:tcW w:w="2057" w:type="dxa"/>
          </w:tcPr>
          <w:p w14:paraId="358B0999" w14:textId="77777777" w:rsidR="00A91434" w:rsidRDefault="00A91434" w:rsidP="002A609A">
            <w:pPr>
              <w:pStyle w:val="APDTABLE1"/>
              <w:rPr>
                <w:rFonts w:asciiTheme="majorHAnsi" w:hAnsiTheme="majorHAnsi" w:cstheme="majorHAnsi"/>
              </w:rPr>
            </w:pPr>
          </w:p>
        </w:tc>
        <w:tc>
          <w:tcPr>
            <w:tcW w:w="2057" w:type="dxa"/>
          </w:tcPr>
          <w:p w14:paraId="31FC1184" w14:textId="77777777" w:rsidR="00A91434" w:rsidRDefault="00A91434" w:rsidP="002A609A">
            <w:pPr>
              <w:pStyle w:val="APDTABLE1"/>
              <w:rPr>
                <w:rFonts w:asciiTheme="majorHAnsi" w:hAnsiTheme="majorHAnsi" w:cstheme="majorHAnsi"/>
              </w:rPr>
            </w:pPr>
          </w:p>
        </w:tc>
        <w:tc>
          <w:tcPr>
            <w:tcW w:w="2058" w:type="dxa"/>
          </w:tcPr>
          <w:p w14:paraId="2E38D41D" w14:textId="77777777" w:rsidR="00A91434" w:rsidRDefault="00A91434" w:rsidP="002A609A">
            <w:pPr>
              <w:pStyle w:val="APDTABLE1"/>
              <w:rPr>
                <w:rFonts w:asciiTheme="majorHAnsi" w:hAnsiTheme="majorHAnsi" w:cstheme="majorHAnsi"/>
              </w:rPr>
            </w:pPr>
          </w:p>
        </w:tc>
        <w:tc>
          <w:tcPr>
            <w:tcW w:w="2057" w:type="dxa"/>
          </w:tcPr>
          <w:p w14:paraId="552E2A3C" w14:textId="77777777" w:rsidR="00A91434" w:rsidRDefault="00A91434" w:rsidP="002A609A">
            <w:pPr>
              <w:pStyle w:val="APDTABLE1"/>
              <w:rPr>
                <w:rFonts w:asciiTheme="majorHAnsi" w:hAnsiTheme="majorHAnsi" w:cstheme="majorHAnsi"/>
              </w:rPr>
            </w:pPr>
          </w:p>
        </w:tc>
        <w:tc>
          <w:tcPr>
            <w:tcW w:w="2057" w:type="dxa"/>
          </w:tcPr>
          <w:p w14:paraId="6717277F" w14:textId="77777777" w:rsidR="00A91434" w:rsidRDefault="00A91434" w:rsidP="002A609A">
            <w:pPr>
              <w:pStyle w:val="APDTABLE1"/>
              <w:rPr>
                <w:rFonts w:asciiTheme="majorHAnsi" w:hAnsiTheme="majorHAnsi" w:cstheme="majorHAnsi"/>
              </w:rPr>
            </w:pPr>
          </w:p>
        </w:tc>
        <w:tc>
          <w:tcPr>
            <w:tcW w:w="2057" w:type="dxa"/>
          </w:tcPr>
          <w:p w14:paraId="7E531BF5" w14:textId="77777777" w:rsidR="00A91434" w:rsidRDefault="00A91434" w:rsidP="002A609A">
            <w:pPr>
              <w:pStyle w:val="APDTABLE1"/>
              <w:rPr>
                <w:rFonts w:asciiTheme="majorHAnsi" w:hAnsiTheme="majorHAnsi" w:cstheme="majorHAnsi"/>
              </w:rPr>
            </w:pPr>
          </w:p>
        </w:tc>
        <w:tc>
          <w:tcPr>
            <w:tcW w:w="2057" w:type="dxa"/>
          </w:tcPr>
          <w:p w14:paraId="55648AA0" w14:textId="77777777" w:rsidR="00A91434" w:rsidRDefault="00A91434" w:rsidP="002A609A">
            <w:pPr>
              <w:pStyle w:val="APDTABLE1"/>
              <w:rPr>
                <w:rFonts w:asciiTheme="majorHAnsi" w:hAnsiTheme="majorHAnsi" w:cstheme="majorHAnsi"/>
              </w:rPr>
            </w:pPr>
          </w:p>
        </w:tc>
      </w:tr>
      <w:tr w:rsidR="00A91434" w14:paraId="3D4C4033" w14:textId="77777777" w:rsidTr="00A91434">
        <w:trPr>
          <w:cantSplit/>
          <w:tblHeader/>
        </w:trPr>
        <w:tc>
          <w:tcPr>
            <w:tcW w:w="2057" w:type="dxa"/>
          </w:tcPr>
          <w:p w14:paraId="2DA234C7" w14:textId="77777777" w:rsidR="00A91434" w:rsidRDefault="00A91434" w:rsidP="002A609A">
            <w:pPr>
              <w:pStyle w:val="APDTABLE1"/>
              <w:rPr>
                <w:rFonts w:asciiTheme="majorHAnsi" w:hAnsiTheme="majorHAnsi" w:cstheme="majorHAnsi"/>
              </w:rPr>
            </w:pPr>
          </w:p>
        </w:tc>
        <w:tc>
          <w:tcPr>
            <w:tcW w:w="2057" w:type="dxa"/>
          </w:tcPr>
          <w:p w14:paraId="42CF9261" w14:textId="77777777" w:rsidR="00A91434" w:rsidRDefault="00A91434" w:rsidP="002A609A">
            <w:pPr>
              <w:pStyle w:val="APDTABLE1"/>
              <w:rPr>
                <w:rFonts w:asciiTheme="majorHAnsi" w:hAnsiTheme="majorHAnsi" w:cstheme="majorHAnsi"/>
              </w:rPr>
            </w:pPr>
          </w:p>
        </w:tc>
        <w:tc>
          <w:tcPr>
            <w:tcW w:w="2058" w:type="dxa"/>
          </w:tcPr>
          <w:p w14:paraId="302F7625" w14:textId="77777777" w:rsidR="00A91434" w:rsidRDefault="00A91434" w:rsidP="002A609A">
            <w:pPr>
              <w:pStyle w:val="APDTABLE1"/>
              <w:rPr>
                <w:rFonts w:asciiTheme="majorHAnsi" w:hAnsiTheme="majorHAnsi" w:cstheme="majorHAnsi"/>
              </w:rPr>
            </w:pPr>
          </w:p>
        </w:tc>
        <w:tc>
          <w:tcPr>
            <w:tcW w:w="2057" w:type="dxa"/>
          </w:tcPr>
          <w:p w14:paraId="27D43A4A" w14:textId="77777777" w:rsidR="00A91434" w:rsidRDefault="00A91434" w:rsidP="002A609A">
            <w:pPr>
              <w:pStyle w:val="APDTABLE1"/>
              <w:rPr>
                <w:rFonts w:asciiTheme="majorHAnsi" w:hAnsiTheme="majorHAnsi" w:cstheme="majorHAnsi"/>
              </w:rPr>
            </w:pPr>
          </w:p>
        </w:tc>
        <w:tc>
          <w:tcPr>
            <w:tcW w:w="2057" w:type="dxa"/>
          </w:tcPr>
          <w:p w14:paraId="13CD025A" w14:textId="77777777" w:rsidR="00A91434" w:rsidRDefault="00A91434" w:rsidP="002A609A">
            <w:pPr>
              <w:pStyle w:val="APDTABLE1"/>
              <w:rPr>
                <w:rFonts w:asciiTheme="majorHAnsi" w:hAnsiTheme="majorHAnsi" w:cstheme="majorHAnsi"/>
              </w:rPr>
            </w:pPr>
          </w:p>
        </w:tc>
        <w:tc>
          <w:tcPr>
            <w:tcW w:w="2057" w:type="dxa"/>
          </w:tcPr>
          <w:p w14:paraId="3ADFE587" w14:textId="77777777" w:rsidR="00A91434" w:rsidRDefault="00A91434" w:rsidP="002A609A">
            <w:pPr>
              <w:pStyle w:val="APDTABLE1"/>
              <w:rPr>
                <w:rFonts w:asciiTheme="majorHAnsi" w:hAnsiTheme="majorHAnsi" w:cstheme="majorHAnsi"/>
              </w:rPr>
            </w:pPr>
          </w:p>
        </w:tc>
        <w:tc>
          <w:tcPr>
            <w:tcW w:w="2057" w:type="dxa"/>
          </w:tcPr>
          <w:p w14:paraId="3A7533AD" w14:textId="77777777" w:rsidR="00A91434" w:rsidRDefault="00A91434" w:rsidP="002A609A">
            <w:pPr>
              <w:pStyle w:val="APDTABLE1"/>
              <w:rPr>
                <w:rFonts w:asciiTheme="majorHAnsi" w:hAnsiTheme="majorHAnsi" w:cstheme="majorHAnsi"/>
              </w:rPr>
            </w:pPr>
          </w:p>
        </w:tc>
      </w:tr>
      <w:tr w:rsidR="00A91434" w14:paraId="0D728C82" w14:textId="77777777" w:rsidTr="00A91434">
        <w:trPr>
          <w:cantSplit/>
          <w:tblHeader/>
        </w:trPr>
        <w:tc>
          <w:tcPr>
            <w:tcW w:w="2057" w:type="dxa"/>
          </w:tcPr>
          <w:p w14:paraId="3147C1E4" w14:textId="77777777" w:rsidR="00A91434" w:rsidRDefault="00A91434" w:rsidP="002A609A">
            <w:pPr>
              <w:pStyle w:val="APDTABLE1"/>
              <w:rPr>
                <w:rFonts w:asciiTheme="majorHAnsi" w:hAnsiTheme="majorHAnsi" w:cstheme="majorHAnsi"/>
              </w:rPr>
            </w:pPr>
          </w:p>
        </w:tc>
        <w:tc>
          <w:tcPr>
            <w:tcW w:w="2057" w:type="dxa"/>
          </w:tcPr>
          <w:p w14:paraId="28E607BE" w14:textId="77777777" w:rsidR="00A91434" w:rsidRDefault="00A91434" w:rsidP="002A609A">
            <w:pPr>
              <w:pStyle w:val="APDTABLE1"/>
              <w:rPr>
                <w:rFonts w:asciiTheme="majorHAnsi" w:hAnsiTheme="majorHAnsi" w:cstheme="majorHAnsi"/>
              </w:rPr>
            </w:pPr>
          </w:p>
        </w:tc>
        <w:tc>
          <w:tcPr>
            <w:tcW w:w="2058" w:type="dxa"/>
          </w:tcPr>
          <w:p w14:paraId="1BC3DB8B" w14:textId="77777777" w:rsidR="00A91434" w:rsidRDefault="00A91434" w:rsidP="002A609A">
            <w:pPr>
              <w:pStyle w:val="APDTABLE1"/>
              <w:rPr>
                <w:rFonts w:asciiTheme="majorHAnsi" w:hAnsiTheme="majorHAnsi" w:cstheme="majorHAnsi"/>
              </w:rPr>
            </w:pPr>
          </w:p>
        </w:tc>
        <w:tc>
          <w:tcPr>
            <w:tcW w:w="2057" w:type="dxa"/>
          </w:tcPr>
          <w:p w14:paraId="43CA1CF7" w14:textId="77777777" w:rsidR="00A91434" w:rsidRDefault="00A91434" w:rsidP="002A609A">
            <w:pPr>
              <w:pStyle w:val="APDTABLE1"/>
              <w:rPr>
                <w:rFonts w:asciiTheme="majorHAnsi" w:hAnsiTheme="majorHAnsi" w:cstheme="majorHAnsi"/>
              </w:rPr>
            </w:pPr>
          </w:p>
        </w:tc>
        <w:tc>
          <w:tcPr>
            <w:tcW w:w="2057" w:type="dxa"/>
          </w:tcPr>
          <w:p w14:paraId="3BC615C9" w14:textId="77777777" w:rsidR="00A91434" w:rsidRDefault="00A91434" w:rsidP="002A609A">
            <w:pPr>
              <w:pStyle w:val="APDTABLE1"/>
              <w:rPr>
                <w:rFonts w:asciiTheme="majorHAnsi" w:hAnsiTheme="majorHAnsi" w:cstheme="majorHAnsi"/>
              </w:rPr>
            </w:pPr>
          </w:p>
        </w:tc>
        <w:tc>
          <w:tcPr>
            <w:tcW w:w="2057" w:type="dxa"/>
          </w:tcPr>
          <w:p w14:paraId="393E82A2" w14:textId="77777777" w:rsidR="00A91434" w:rsidRDefault="00A91434" w:rsidP="002A609A">
            <w:pPr>
              <w:pStyle w:val="APDTABLE1"/>
              <w:rPr>
                <w:rFonts w:asciiTheme="majorHAnsi" w:hAnsiTheme="majorHAnsi" w:cstheme="majorHAnsi"/>
              </w:rPr>
            </w:pPr>
          </w:p>
        </w:tc>
        <w:tc>
          <w:tcPr>
            <w:tcW w:w="2057" w:type="dxa"/>
          </w:tcPr>
          <w:p w14:paraId="2E2646B0" w14:textId="77777777" w:rsidR="00A91434" w:rsidRDefault="00A91434" w:rsidP="002A609A">
            <w:pPr>
              <w:pStyle w:val="APDTABLE1"/>
              <w:rPr>
                <w:rFonts w:asciiTheme="majorHAnsi" w:hAnsiTheme="majorHAnsi" w:cstheme="majorHAnsi"/>
              </w:rPr>
            </w:pPr>
          </w:p>
        </w:tc>
      </w:tr>
      <w:tr w:rsidR="00A91434" w14:paraId="3234B513" w14:textId="77777777" w:rsidTr="00A91434">
        <w:trPr>
          <w:cantSplit/>
          <w:tblHeader/>
        </w:trPr>
        <w:tc>
          <w:tcPr>
            <w:tcW w:w="2057" w:type="dxa"/>
          </w:tcPr>
          <w:p w14:paraId="7E84FE09" w14:textId="77777777" w:rsidR="00A91434" w:rsidRDefault="00A91434" w:rsidP="002A609A">
            <w:pPr>
              <w:pStyle w:val="APDTABLE1"/>
              <w:rPr>
                <w:rFonts w:asciiTheme="majorHAnsi" w:hAnsiTheme="majorHAnsi" w:cstheme="majorHAnsi"/>
              </w:rPr>
            </w:pPr>
          </w:p>
        </w:tc>
        <w:tc>
          <w:tcPr>
            <w:tcW w:w="2057" w:type="dxa"/>
          </w:tcPr>
          <w:p w14:paraId="4F12A2EB" w14:textId="77777777" w:rsidR="00A91434" w:rsidRDefault="00A91434" w:rsidP="002A609A">
            <w:pPr>
              <w:pStyle w:val="APDTABLE1"/>
              <w:rPr>
                <w:rFonts w:asciiTheme="majorHAnsi" w:hAnsiTheme="majorHAnsi" w:cstheme="majorHAnsi"/>
              </w:rPr>
            </w:pPr>
          </w:p>
        </w:tc>
        <w:tc>
          <w:tcPr>
            <w:tcW w:w="2058" w:type="dxa"/>
          </w:tcPr>
          <w:p w14:paraId="1900F0C2" w14:textId="77777777" w:rsidR="00A91434" w:rsidRDefault="00A91434" w:rsidP="002A609A">
            <w:pPr>
              <w:pStyle w:val="APDTABLE1"/>
              <w:rPr>
                <w:rFonts w:asciiTheme="majorHAnsi" w:hAnsiTheme="majorHAnsi" w:cstheme="majorHAnsi"/>
              </w:rPr>
            </w:pPr>
          </w:p>
        </w:tc>
        <w:tc>
          <w:tcPr>
            <w:tcW w:w="2057" w:type="dxa"/>
          </w:tcPr>
          <w:p w14:paraId="5420FEB8" w14:textId="77777777" w:rsidR="00A91434" w:rsidRDefault="00A91434" w:rsidP="002A609A">
            <w:pPr>
              <w:pStyle w:val="APDTABLE1"/>
              <w:rPr>
                <w:rFonts w:asciiTheme="majorHAnsi" w:hAnsiTheme="majorHAnsi" w:cstheme="majorHAnsi"/>
              </w:rPr>
            </w:pPr>
          </w:p>
        </w:tc>
        <w:tc>
          <w:tcPr>
            <w:tcW w:w="2057" w:type="dxa"/>
          </w:tcPr>
          <w:p w14:paraId="10D8B42F" w14:textId="77777777" w:rsidR="00A91434" w:rsidRDefault="00A91434" w:rsidP="002A609A">
            <w:pPr>
              <w:pStyle w:val="APDTABLE1"/>
              <w:rPr>
                <w:rFonts w:asciiTheme="majorHAnsi" w:hAnsiTheme="majorHAnsi" w:cstheme="majorHAnsi"/>
              </w:rPr>
            </w:pPr>
          </w:p>
        </w:tc>
        <w:tc>
          <w:tcPr>
            <w:tcW w:w="2057" w:type="dxa"/>
          </w:tcPr>
          <w:p w14:paraId="648532A8" w14:textId="77777777" w:rsidR="00A91434" w:rsidRDefault="00A91434" w:rsidP="002A609A">
            <w:pPr>
              <w:pStyle w:val="APDTABLE1"/>
              <w:rPr>
                <w:rFonts w:asciiTheme="majorHAnsi" w:hAnsiTheme="majorHAnsi" w:cstheme="majorHAnsi"/>
              </w:rPr>
            </w:pPr>
          </w:p>
        </w:tc>
        <w:tc>
          <w:tcPr>
            <w:tcW w:w="2057" w:type="dxa"/>
          </w:tcPr>
          <w:p w14:paraId="64F55116" w14:textId="77777777" w:rsidR="00A91434" w:rsidRDefault="00A91434" w:rsidP="002A609A">
            <w:pPr>
              <w:pStyle w:val="APDTABLE1"/>
              <w:rPr>
                <w:rFonts w:asciiTheme="majorHAnsi" w:hAnsiTheme="majorHAnsi" w:cstheme="majorHAnsi"/>
              </w:rPr>
            </w:pPr>
          </w:p>
        </w:tc>
      </w:tr>
    </w:tbl>
    <w:p w14:paraId="55E43192" w14:textId="77777777" w:rsidR="00A91434" w:rsidRPr="00DC71B0" w:rsidRDefault="00A91434" w:rsidP="002A609A">
      <w:pPr>
        <w:pStyle w:val="APDTABLE1"/>
        <w:rPr>
          <w:rFonts w:asciiTheme="majorHAnsi" w:hAnsiTheme="majorHAnsi" w:cstheme="majorHAnsi"/>
        </w:rPr>
      </w:pPr>
    </w:p>
    <w:p w14:paraId="69886DA2" w14:textId="77777777" w:rsidR="002A609A" w:rsidRPr="00DC71B0" w:rsidRDefault="002A609A" w:rsidP="00BC6ACF">
      <w:pPr>
        <w:pStyle w:val="HeadLevel1"/>
        <w:jc w:val="left"/>
      </w:pPr>
      <w:r w:rsidRPr="00DC71B0">
        <w:br w:type="page"/>
      </w:r>
    </w:p>
    <w:p w14:paraId="68050765" w14:textId="77777777" w:rsidR="00002E2D" w:rsidRPr="00DC71B0" w:rsidRDefault="00002E2D" w:rsidP="00CE66A6">
      <w:pPr>
        <w:pStyle w:val="HeadLevel1"/>
        <w:outlineLvl w:val="0"/>
      </w:pPr>
      <w:r w:rsidRPr="00DC71B0">
        <w:lastRenderedPageBreak/>
        <w:t>Process Heater/Furnace Attributes</w:t>
      </w:r>
    </w:p>
    <w:p w14:paraId="23F98F06" w14:textId="77777777" w:rsidR="00002E2D" w:rsidRPr="00DC71B0" w:rsidRDefault="00002E2D" w:rsidP="00CE66A6">
      <w:pPr>
        <w:pStyle w:val="HeadLevel1"/>
        <w:outlineLvl w:val="0"/>
      </w:pPr>
      <w:r w:rsidRPr="00DC71B0">
        <w:t>Form OP-UA5 (Page 4)</w:t>
      </w:r>
    </w:p>
    <w:p w14:paraId="37F0B125" w14:textId="77777777" w:rsidR="00002E2D" w:rsidRPr="00DC71B0" w:rsidRDefault="00002E2D" w:rsidP="00CE66A6">
      <w:pPr>
        <w:pStyle w:val="HeadLevel1"/>
        <w:outlineLvl w:val="0"/>
      </w:pPr>
      <w:r w:rsidRPr="00DC71B0">
        <w:t>Federal Operating Permit Program</w:t>
      </w:r>
    </w:p>
    <w:p w14:paraId="27C8BBB9" w14:textId="77777777" w:rsidR="00002E2D" w:rsidRPr="00DC71B0" w:rsidRDefault="00002E2D" w:rsidP="00CE66A6">
      <w:pPr>
        <w:pStyle w:val="HeadLevel1"/>
        <w:outlineLvl w:val="0"/>
      </w:pPr>
      <w:bookmarkStart w:id="38" w:name="TBL2"/>
      <w:r w:rsidRPr="00DC71B0">
        <w:t>Table 2</w:t>
      </w:r>
      <w:bookmarkEnd w:id="38"/>
      <w:r w:rsidRPr="00DC71B0">
        <w:t>: Title 30 Texas Administrative Code Chapter 112 (30 TAC Chapter 112)</w:t>
      </w:r>
    </w:p>
    <w:p w14:paraId="5AD67588" w14:textId="2A6FCE2E" w:rsidR="00002E2D" w:rsidRDefault="00002E2D" w:rsidP="00CE66A6">
      <w:pPr>
        <w:pStyle w:val="HeadLevel1"/>
        <w:outlineLvl w:val="0"/>
      </w:pPr>
      <w:r w:rsidRPr="00DC71B0">
        <w:t>Control of Air Pollution from Sulfur Compounds</w:t>
      </w:r>
    </w:p>
    <w:p w14:paraId="69C62BEA" w14:textId="77777777" w:rsidR="000F6684" w:rsidRPr="00DC71B0" w:rsidRDefault="000F6684" w:rsidP="00CE66A6">
      <w:pPr>
        <w:pStyle w:val="HeadLevel1"/>
        <w:outlineLvl w:val="0"/>
      </w:pPr>
      <w:r w:rsidRPr="00DC71B0">
        <w:t>Texas Commission on Environmental Quality</w:t>
      </w:r>
    </w:p>
    <w:p w14:paraId="7067CDA0" w14:textId="77777777" w:rsidR="006C2FB6" w:rsidRDefault="006C2FB6" w:rsidP="000F6684">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 Title 30 Texas Administrative Code Chapter 112 (30 TAC Chapter 112)Control of Air Pollution from Sulfur Compounds&#10;&#10;&#10;&#10;"/>
      </w:tblPr>
      <w:tblGrid>
        <w:gridCol w:w="4800"/>
        <w:gridCol w:w="4800"/>
        <w:gridCol w:w="4800"/>
      </w:tblGrid>
      <w:tr w:rsidR="0093034F" w:rsidRPr="00756A95" w14:paraId="17D1FFBF" w14:textId="77777777" w:rsidTr="00F263FF">
        <w:trPr>
          <w:cantSplit/>
          <w:tblHeader/>
        </w:trPr>
        <w:tc>
          <w:tcPr>
            <w:tcW w:w="4800" w:type="dxa"/>
            <w:shd w:val="clear" w:color="auto" w:fill="D9D9D9" w:themeFill="background1" w:themeFillShade="D9"/>
          </w:tcPr>
          <w:p w14:paraId="21E3757A"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2E1E90E1"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65A8CD1F"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31EB016F" w14:textId="77777777" w:rsidTr="00F263FF">
        <w:trPr>
          <w:cantSplit/>
          <w:tblHeader/>
        </w:trPr>
        <w:tc>
          <w:tcPr>
            <w:tcW w:w="4800" w:type="dxa"/>
          </w:tcPr>
          <w:p w14:paraId="6E4D01EC" w14:textId="77777777" w:rsidR="0093034F" w:rsidRDefault="0093034F" w:rsidP="00F263FF">
            <w:pPr>
              <w:rPr>
                <w:rFonts w:asciiTheme="majorHAnsi" w:hAnsiTheme="majorHAnsi" w:cstheme="majorHAnsi"/>
              </w:rPr>
            </w:pPr>
          </w:p>
        </w:tc>
        <w:tc>
          <w:tcPr>
            <w:tcW w:w="4800" w:type="dxa"/>
          </w:tcPr>
          <w:p w14:paraId="1B4FBC23" w14:textId="77777777" w:rsidR="0093034F" w:rsidRDefault="0093034F" w:rsidP="00F263FF">
            <w:pPr>
              <w:rPr>
                <w:rFonts w:asciiTheme="majorHAnsi" w:hAnsiTheme="majorHAnsi" w:cstheme="majorHAnsi"/>
              </w:rPr>
            </w:pPr>
          </w:p>
        </w:tc>
        <w:tc>
          <w:tcPr>
            <w:tcW w:w="4800" w:type="dxa"/>
          </w:tcPr>
          <w:p w14:paraId="5CF158DD" w14:textId="77777777" w:rsidR="0093034F" w:rsidRDefault="0093034F" w:rsidP="00F263FF">
            <w:pPr>
              <w:rPr>
                <w:rFonts w:asciiTheme="majorHAnsi" w:hAnsiTheme="majorHAnsi" w:cstheme="majorHAnsi"/>
              </w:rPr>
            </w:pPr>
          </w:p>
        </w:tc>
      </w:tr>
    </w:tbl>
    <w:p w14:paraId="7489C2B2" w14:textId="2FC6ACC5"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 Title 30 Texas Administrative Code Chapter 112 (30 TAC Chapter 112) Control of Air Pollution from Sulfur Compounds&#10;"/>
      </w:tblPr>
      <w:tblGrid>
        <w:gridCol w:w="3599"/>
        <w:gridCol w:w="3599"/>
        <w:gridCol w:w="3601"/>
        <w:gridCol w:w="3601"/>
      </w:tblGrid>
      <w:tr w:rsidR="00C36A21" w14:paraId="13831FA4" w14:textId="77777777" w:rsidTr="00C36A21">
        <w:trPr>
          <w:cantSplit/>
          <w:trHeight w:val="288"/>
          <w:tblHeader/>
        </w:trPr>
        <w:tc>
          <w:tcPr>
            <w:tcW w:w="3599" w:type="dxa"/>
            <w:shd w:val="clear" w:color="auto" w:fill="D9D9D9" w:themeFill="background1" w:themeFillShade="D9"/>
            <w:vAlign w:val="center"/>
          </w:tcPr>
          <w:p w14:paraId="7F8682E6" w14:textId="64BEFE65" w:rsidR="00C36A21" w:rsidRPr="00C36A21" w:rsidRDefault="00C36A21" w:rsidP="00C36A21">
            <w:pPr>
              <w:pStyle w:val="APDTABLE1"/>
              <w:jc w:val="center"/>
              <w:rPr>
                <w:rFonts w:asciiTheme="majorHAnsi" w:hAnsiTheme="majorHAnsi" w:cstheme="majorHAnsi"/>
                <w:sz w:val="20"/>
                <w:szCs w:val="20"/>
              </w:rPr>
            </w:pPr>
            <w:r w:rsidRPr="00C36A21">
              <w:rPr>
                <w:sz w:val="20"/>
                <w:szCs w:val="20"/>
              </w:rPr>
              <w:t>Unit ID No.</w:t>
            </w:r>
          </w:p>
        </w:tc>
        <w:tc>
          <w:tcPr>
            <w:tcW w:w="3599" w:type="dxa"/>
            <w:shd w:val="clear" w:color="auto" w:fill="D9D9D9" w:themeFill="background1" w:themeFillShade="D9"/>
            <w:vAlign w:val="center"/>
          </w:tcPr>
          <w:p w14:paraId="6658BA5F" w14:textId="0E3246BB" w:rsidR="00C36A21" w:rsidRPr="00C36A21" w:rsidRDefault="00C36A21" w:rsidP="00C36A21">
            <w:pPr>
              <w:pStyle w:val="APDTABLE1"/>
              <w:jc w:val="center"/>
              <w:rPr>
                <w:rFonts w:asciiTheme="majorHAnsi" w:hAnsiTheme="majorHAnsi" w:cstheme="majorHAnsi"/>
                <w:sz w:val="20"/>
                <w:szCs w:val="20"/>
              </w:rPr>
            </w:pPr>
            <w:r w:rsidRPr="00C36A21">
              <w:rPr>
                <w:sz w:val="20"/>
                <w:szCs w:val="20"/>
              </w:rPr>
              <w:t>SOP/GOP Index No.</w:t>
            </w:r>
          </w:p>
        </w:tc>
        <w:tc>
          <w:tcPr>
            <w:tcW w:w="3601" w:type="dxa"/>
            <w:shd w:val="clear" w:color="auto" w:fill="D9D9D9" w:themeFill="background1" w:themeFillShade="D9"/>
            <w:vAlign w:val="center"/>
          </w:tcPr>
          <w:p w14:paraId="74F2C26C" w14:textId="39D025D6" w:rsidR="00C36A21" w:rsidRPr="00C36A21" w:rsidRDefault="00C36A21" w:rsidP="00C36A21">
            <w:pPr>
              <w:pStyle w:val="APDTABLE1"/>
              <w:jc w:val="center"/>
              <w:rPr>
                <w:rFonts w:asciiTheme="majorHAnsi" w:hAnsiTheme="majorHAnsi" w:cstheme="majorHAnsi"/>
                <w:sz w:val="20"/>
                <w:szCs w:val="20"/>
              </w:rPr>
            </w:pPr>
            <w:r w:rsidRPr="00C36A21">
              <w:rPr>
                <w:sz w:val="20"/>
                <w:szCs w:val="20"/>
              </w:rPr>
              <w:t>Effective Stack Height</w:t>
            </w:r>
          </w:p>
        </w:tc>
        <w:tc>
          <w:tcPr>
            <w:tcW w:w="3601" w:type="dxa"/>
            <w:shd w:val="clear" w:color="auto" w:fill="D9D9D9" w:themeFill="background1" w:themeFillShade="D9"/>
            <w:vAlign w:val="center"/>
          </w:tcPr>
          <w:p w14:paraId="2019A95D" w14:textId="01485B89" w:rsidR="00C36A21" w:rsidRPr="00C36A21" w:rsidRDefault="00C36A21" w:rsidP="00C36A21">
            <w:pPr>
              <w:pStyle w:val="APDTABLE1"/>
              <w:jc w:val="center"/>
              <w:rPr>
                <w:rFonts w:asciiTheme="majorHAnsi" w:hAnsiTheme="majorHAnsi" w:cstheme="majorHAnsi"/>
                <w:sz w:val="20"/>
                <w:szCs w:val="20"/>
              </w:rPr>
            </w:pPr>
            <w:r w:rsidRPr="00C36A21">
              <w:rPr>
                <w:sz w:val="20"/>
                <w:szCs w:val="20"/>
              </w:rPr>
              <w:t>Emission Point ID No.</w:t>
            </w:r>
          </w:p>
        </w:tc>
      </w:tr>
      <w:tr w:rsidR="00C36A21" w14:paraId="04E759D8" w14:textId="77777777" w:rsidTr="00C36A21">
        <w:trPr>
          <w:cantSplit/>
          <w:trHeight w:val="288"/>
          <w:tblHeader/>
        </w:trPr>
        <w:tc>
          <w:tcPr>
            <w:tcW w:w="3599" w:type="dxa"/>
          </w:tcPr>
          <w:p w14:paraId="28619BAA" w14:textId="77777777" w:rsidR="00C36A21" w:rsidRDefault="00C36A21" w:rsidP="002A609A">
            <w:pPr>
              <w:pStyle w:val="APDTABLE1"/>
              <w:rPr>
                <w:rFonts w:asciiTheme="majorHAnsi" w:hAnsiTheme="majorHAnsi" w:cstheme="majorHAnsi"/>
              </w:rPr>
            </w:pPr>
          </w:p>
        </w:tc>
        <w:tc>
          <w:tcPr>
            <w:tcW w:w="3599" w:type="dxa"/>
          </w:tcPr>
          <w:p w14:paraId="439D8E5E" w14:textId="77777777" w:rsidR="00C36A21" w:rsidRDefault="00C36A21" w:rsidP="002A609A">
            <w:pPr>
              <w:pStyle w:val="APDTABLE1"/>
              <w:rPr>
                <w:rFonts w:asciiTheme="majorHAnsi" w:hAnsiTheme="majorHAnsi" w:cstheme="majorHAnsi"/>
              </w:rPr>
            </w:pPr>
          </w:p>
        </w:tc>
        <w:tc>
          <w:tcPr>
            <w:tcW w:w="3601" w:type="dxa"/>
          </w:tcPr>
          <w:p w14:paraId="0E6B7C2D" w14:textId="77777777" w:rsidR="00C36A21" w:rsidRDefault="00C36A21" w:rsidP="002A609A">
            <w:pPr>
              <w:pStyle w:val="APDTABLE1"/>
              <w:rPr>
                <w:rFonts w:asciiTheme="majorHAnsi" w:hAnsiTheme="majorHAnsi" w:cstheme="majorHAnsi"/>
              </w:rPr>
            </w:pPr>
          </w:p>
        </w:tc>
        <w:tc>
          <w:tcPr>
            <w:tcW w:w="3601" w:type="dxa"/>
          </w:tcPr>
          <w:p w14:paraId="4C877D86" w14:textId="77777777" w:rsidR="00C36A21" w:rsidRDefault="00C36A21" w:rsidP="002A609A">
            <w:pPr>
              <w:pStyle w:val="APDTABLE1"/>
              <w:rPr>
                <w:rFonts w:asciiTheme="majorHAnsi" w:hAnsiTheme="majorHAnsi" w:cstheme="majorHAnsi"/>
              </w:rPr>
            </w:pPr>
          </w:p>
        </w:tc>
      </w:tr>
      <w:tr w:rsidR="00C36A21" w14:paraId="5195C162" w14:textId="77777777" w:rsidTr="00C36A21">
        <w:trPr>
          <w:cantSplit/>
          <w:trHeight w:val="288"/>
          <w:tblHeader/>
        </w:trPr>
        <w:tc>
          <w:tcPr>
            <w:tcW w:w="3599" w:type="dxa"/>
          </w:tcPr>
          <w:p w14:paraId="3A6E76FB" w14:textId="77777777" w:rsidR="00C36A21" w:rsidRDefault="00C36A21" w:rsidP="002A609A">
            <w:pPr>
              <w:pStyle w:val="APDTABLE1"/>
              <w:rPr>
                <w:rFonts w:asciiTheme="majorHAnsi" w:hAnsiTheme="majorHAnsi" w:cstheme="majorHAnsi"/>
              </w:rPr>
            </w:pPr>
          </w:p>
        </w:tc>
        <w:tc>
          <w:tcPr>
            <w:tcW w:w="3599" w:type="dxa"/>
          </w:tcPr>
          <w:p w14:paraId="3AD747E9" w14:textId="77777777" w:rsidR="00C36A21" w:rsidRDefault="00C36A21" w:rsidP="002A609A">
            <w:pPr>
              <w:pStyle w:val="APDTABLE1"/>
              <w:rPr>
                <w:rFonts w:asciiTheme="majorHAnsi" w:hAnsiTheme="majorHAnsi" w:cstheme="majorHAnsi"/>
              </w:rPr>
            </w:pPr>
          </w:p>
        </w:tc>
        <w:tc>
          <w:tcPr>
            <w:tcW w:w="3601" w:type="dxa"/>
          </w:tcPr>
          <w:p w14:paraId="6FEE8F7B" w14:textId="77777777" w:rsidR="00C36A21" w:rsidRDefault="00C36A21" w:rsidP="002A609A">
            <w:pPr>
              <w:pStyle w:val="APDTABLE1"/>
              <w:rPr>
                <w:rFonts w:asciiTheme="majorHAnsi" w:hAnsiTheme="majorHAnsi" w:cstheme="majorHAnsi"/>
              </w:rPr>
            </w:pPr>
          </w:p>
        </w:tc>
        <w:tc>
          <w:tcPr>
            <w:tcW w:w="3601" w:type="dxa"/>
          </w:tcPr>
          <w:p w14:paraId="2E0359B8" w14:textId="77777777" w:rsidR="00C36A21" w:rsidRDefault="00C36A21" w:rsidP="002A609A">
            <w:pPr>
              <w:pStyle w:val="APDTABLE1"/>
              <w:rPr>
                <w:rFonts w:asciiTheme="majorHAnsi" w:hAnsiTheme="majorHAnsi" w:cstheme="majorHAnsi"/>
              </w:rPr>
            </w:pPr>
          </w:p>
        </w:tc>
      </w:tr>
      <w:tr w:rsidR="00C36A21" w14:paraId="3FDC2648" w14:textId="77777777" w:rsidTr="00C36A21">
        <w:trPr>
          <w:cantSplit/>
          <w:trHeight w:val="288"/>
          <w:tblHeader/>
        </w:trPr>
        <w:tc>
          <w:tcPr>
            <w:tcW w:w="3599" w:type="dxa"/>
          </w:tcPr>
          <w:p w14:paraId="7928A8C3" w14:textId="77777777" w:rsidR="00C36A21" w:rsidRDefault="00C36A21" w:rsidP="002A609A">
            <w:pPr>
              <w:pStyle w:val="APDTABLE1"/>
              <w:rPr>
                <w:rFonts w:asciiTheme="majorHAnsi" w:hAnsiTheme="majorHAnsi" w:cstheme="majorHAnsi"/>
              </w:rPr>
            </w:pPr>
          </w:p>
        </w:tc>
        <w:tc>
          <w:tcPr>
            <w:tcW w:w="3599" w:type="dxa"/>
          </w:tcPr>
          <w:p w14:paraId="27DF2AB7" w14:textId="77777777" w:rsidR="00C36A21" w:rsidRDefault="00C36A21" w:rsidP="002A609A">
            <w:pPr>
              <w:pStyle w:val="APDTABLE1"/>
              <w:rPr>
                <w:rFonts w:asciiTheme="majorHAnsi" w:hAnsiTheme="majorHAnsi" w:cstheme="majorHAnsi"/>
              </w:rPr>
            </w:pPr>
          </w:p>
        </w:tc>
        <w:tc>
          <w:tcPr>
            <w:tcW w:w="3601" w:type="dxa"/>
          </w:tcPr>
          <w:p w14:paraId="37767B48" w14:textId="77777777" w:rsidR="00C36A21" w:rsidRDefault="00C36A21" w:rsidP="002A609A">
            <w:pPr>
              <w:pStyle w:val="APDTABLE1"/>
              <w:rPr>
                <w:rFonts w:asciiTheme="majorHAnsi" w:hAnsiTheme="majorHAnsi" w:cstheme="majorHAnsi"/>
              </w:rPr>
            </w:pPr>
          </w:p>
        </w:tc>
        <w:tc>
          <w:tcPr>
            <w:tcW w:w="3601" w:type="dxa"/>
          </w:tcPr>
          <w:p w14:paraId="576459F6" w14:textId="77777777" w:rsidR="00C36A21" w:rsidRDefault="00C36A21" w:rsidP="002A609A">
            <w:pPr>
              <w:pStyle w:val="APDTABLE1"/>
              <w:rPr>
                <w:rFonts w:asciiTheme="majorHAnsi" w:hAnsiTheme="majorHAnsi" w:cstheme="majorHAnsi"/>
              </w:rPr>
            </w:pPr>
          </w:p>
        </w:tc>
      </w:tr>
      <w:tr w:rsidR="00C36A21" w14:paraId="2F5C6B46" w14:textId="77777777" w:rsidTr="00C36A21">
        <w:trPr>
          <w:cantSplit/>
          <w:trHeight w:val="288"/>
          <w:tblHeader/>
        </w:trPr>
        <w:tc>
          <w:tcPr>
            <w:tcW w:w="3599" w:type="dxa"/>
          </w:tcPr>
          <w:p w14:paraId="7BB571EB" w14:textId="77777777" w:rsidR="00C36A21" w:rsidRDefault="00C36A21" w:rsidP="002A609A">
            <w:pPr>
              <w:pStyle w:val="APDTABLE1"/>
              <w:rPr>
                <w:rFonts w:asciiTheme="majorHAnsi" w:hAnsiTheme="majorHAnsi" w:cstheme="majorHAnsi"/>
              </w:rPr>
            </w:pPr>
          </w:p>
        </w:tc>
        <w:tc>
          <w:tcPr>
            <w:tcW w:w="3599" w:type="dxa"/>
          </w:tcPr>
          <w:p w14:paraId="7AE0356F" w14:textId="77777777" w:rsidR="00C36A21" w:rsidRDefault="00C36A21" w:rsidP="002A609A">
            <w:pPr>
              <w:pStyle w:val="APDTABLE1"/>
              <w:rPr>
                <w:rFonts w:asciiTheme="majorHAnsi" w:hAnsiTheme="majorHAnsi" w:cstheme="majorHAnsi"/>
              </w:rPr>
            </w:pPr>
          </w:p>
        </w:tc>
        <w:tc>
          <w:tcPr>
            <w:tcW w:w="3601" w:type="dxa"/>
          </w:tcPr>
          <w:p w14:paraId="066EE747" w14:textId="77777777" w:rsidR="00C36A21" w:rsidRDefault="00C36A21" w:rsidP="002A609A">
            <w:pPr>
              <w:pStyle w:val="APDTABLE1"/>
              <w:rPr>
                <w:rFonts w:asciiTheme="majorHAnsi" w:hAnsiTheme="majorHAnsi" w:cstheme="majorHAnsi"/>
              </w:rPr>
            </w:pPr>
          </w:p>
        </w:tc>
        <w:tc>
          <w:tcPr>
            <w:tcW w:w="3601" w:type="dxa"/>
          </w:tcPr>
          <w:p w14:paraId="67AB3D52" w14:textId="77777777" w:rsidR="00C36A21" w:rsidRDefault="00C36A21" w:rsidP="002A609A">
            <w:pPr>
              <w:pStyle w:val="APDTABLE1"/>
              <w:rPr>
                <w:rFonts w:asciiTheme="majorHAnsi" w:hAnsiTheme="majorHAnsi" w:cstheme="majorHAnsi"/>
              </w:rPr>
            </w:pPr>
          </w:p>
        </w:tc>
      </w:tr>
      <w:tr w:rsidR="00C36A21" w14:paraId="1FE406CB" w14:textId="77777777" w:rsidTr="00C36A21">
        <w:trPr>
          <w:cantSplit/>
          <w:trHeight w:val="288"/>
          <w:tblHeader/>
        </w:trPr>
        <w:tc>
          <w:tcPr>
            <w:tcW w:w="3599" w:type="dxa"/>
          </w:tcPr>
          <w:p w14:paraId="078C3945" w14:textId="77777777" w:rsidR="00C36A21" w:rsidRDefault="00C36A21" w:rsidP="002A609A">
            <w:pPr>
              <w:pStyle w:val="APDTABLE1"/>
              <w:rPr>
                <w:rFonts w:asciiTheme="majorHAnsi" w:hAnsiTheme="majorHAnsi" w:cstheme="majorHAnsi"/>
              </w:rPr>
            </w:pPr>
          </w:p>
        </w:tc>
        <w:tc>
          <w:tcPr>
            <w:tcW w:w="3599" w:type="dxa"/>
          </w:tcPr>
          <w:p w14:paraId="297DC191" w14:textId="77777777" w:rsidR="00C36A21" w:rsidRDefault="00C36A21" w:rsidP="002A609A">
            <w:pPr>
              <w:pStyle w:val="APDTABLE1"/>
              <w:rPr>
                <w:rFonts w:asciiTheme="majorHAnsi" w:hAnsiTheme="majorHAnsi" w:cstheme="majorHAnsi"/>
              </w:rPr>
            </w:pPr>
          </w:p>
        </w:tc>
        <w:tc>
          <w:tcPr>
            <w:tcW w:w="3601" w:type="dxa"/>
          </w:tcPr>
          <w:p w14:paraId="5877A5AD" w14:textId="77777777" w:rsidR="00C36A21" w:rsidRDefault="00C36A21" w:rsidP="002A609A">
            <w:pPr>
              <w:pStyle w:val="APDTABLE1"/>
              <w:rPr>
                <w:rFonts w:asciiTheme="majorHAnsi" w:hAnsiTheme="majorHAnsi" w:cstheme="majorHAnsi"/>
              </w:rPr>
            </w:pPr>
          </w:p>
        </w:tc>
        <w:tc>
          <w:tcPr>
            <w:tcW w:w="3601" w:type="dxa"/>
          </w:tcPr>
          <w:p w14:paraId="011BBB10" w14:textId="77777777" w:rsidR="00C36A21" w:rsidRDefault="00C36A21" w:rsidP="002A609A">
            <w:pPr>
              <w:pStyle w:val="APDTABLE1"/>
              <w:rPr>
                <w:rFonts w:asciiTheme="majorHAnsi" w:hAnsiTheme="majorHAnsi" w:cstheme="majorHAnsi"/>
              </w:rPr>
            </w:pPr>
          </w:p>
        </w:tc>
      </w:tr>
      <w:tr w:rsidR="00C36A21" w14:paraId="581D6692" w14:textId="77777777" w:rsidTr="00C36A21">
        <w:trPr>
          <w:cantSplit/>
          <w:trHeight w:val="288"/>
          <w:tblHeader/>
        </w:trPr>
        <w:tc>
          <w:tcPr>
            <w:tcW w:w="3599" w:type="dxa"/>
          </w:tcPr>
          <w:p w14:paraId="09E55325" w14:textId="77777777" w:rsidR="00C36A21" w:rsidRDefault="00C36A21" w:rsidP="002A609A">
            <w:pPr>
              <w:pStyle w:val="APDTABLE1"/>
              <w:rPr>
                <w:rFonts w:asciiTheme="majorHAnsi" w:hAnsiTheme="majorHAnsi" w:cstheme="majorHAnsi"/>
              </w:rPr>
            </w:pPr>
          </w:p>
        </w:tc>
        <w:tc>
          <w:tcPr>
            <w:tcW w:w="3599" w:type="dxa"/>
          </w:tcPr>
          <w:p w14:paraId="3DB376AA" w14:textId="77777777" w:rsidR="00C36A21" w:rsidRDefault="00C36A21" w:rsidP="002A609A">
            <w:pPr>
              <w:pStyle w:val="APDTABLE1"/>
              <w:rPr>
                <w:rFonts w:asciiTheme="majorHAnsi" w:hAnsiTheme="majorHAnsi" w:cstheme="majorHAnsi"/>
              </w:rPr>
            </w:pPr>
          </w:p>
        </w:tc>
        <w:tc>
          <w:tcPr>
            <w:tcW w:w="3601" w:type="dxa"/>
          </w:tcPr>
          <w:p w14:paraId="28DC2D24" w14:textId="77777777" w:rsidR="00C36A21" w:rsidRDefault="00C36A21" w:rsidP="002A609A">
            <w:pPr>
              <w:pStyle w:val="APDTABLE1"/>
              <w:rPr>
                <w:rFonts w:asciiTheme="majorHAnsi" w:hAnsiTheme="majorHAnsi" w:cstheme="majorHAnsi"/>
              </w:rPr>
            </w:pPr>
          </w:p>
        </w:tc>
        <w:tc>
          <w:tcPr>
            <w:tcW w:w="3601" w:type="dxa"/>
          </w:tcPr>
          <w:p w14:paraId="21BC83EA" w14:textId="77777777" w:rsidR="00C36A21" w:rsidRDefault="00C36A21" w:rsidP="002A609A">
            <w:pPr>
              <w:pStyle w:val="APDTABLE1"/>
              <w:rPr>
                <w:rFonts w:asciiTheme="majorHAnsi" w:hAnsiTheme="majorHAnsi" w:cstheme="majorHAnsi"/>
              </w:rPr>
            </w:pPr>
          </w:p>
        </w:tc>
      </w:tr>
      <w:tr w:rsidR="00C36A21" w14:paraId="7365CED8" w14:textId="77777777" w:rsidTr="00C36A21">
        <w:trPr>
          <w:cantSplit/>
          <w:trHeight w:val="288"/>
          <w:tblHeader/>
        </w:trPr>
        <w:tc>
          <w:tcPr>
            <w:tcW w:w="3599" w:type="dxa"/>
          </w:tcPr>
          <w:p w14:paraId="7AF4E293" w14:textId="77777777" w:rsidR="00C36A21" w:rsidRDefault="00C36A21" w:rsidP="002A609A">
            <w:pPr>
              <w:pStyle w:val="APDTABLE1"/>
              <w:rPr>
                <w:rFonts w:asciiTheme="majorHAnsi" w:hAnsiTheme="majorHAnsi" w:cstheme="majorHAnsi"/>
              </w:rPr>
            </w:pPr>
          </w:p>
        </w:tc>
        <w:tc>
          <w:tcPr>
            <w:tcW w:w="3599" w:type="dxa"/>
          </w:tcPr>
          <w:p w14:paraId="1FA5250E" w14:textId="77777777" w:rsidR="00C36A21" w:rsidRDefault="00C36A21" w:rsidP="002A609A">
            <w:pPr>
              <w:pStyle w:val="APDTABLE1"/>
              <w:rPr>
                <w:rFonts w:asciiTheme="majorHAnsi" w:hAnsiTheme="majorHAnsi" w:cstheme="majorHAnsi"/>
              </w:rPr>
            </w:pPr>
          </w:p>
        </w:tc>
        <w:tc>
          <w:tcPr>
            <w:tcW w:w="3601" w:type="dxa"/>
          </w:tcPr>
          <w:p w14:paraId="1D8B431C" w14:textId="77777777" w:rsidR="00C36A21" w:rsidRDefault="00C36A21" w:rsidP="002A609A">
            <w:pPr>
              <w:pStyle w:val="APDTABLE1"/>
              <w:rPr>
                <w:rFonts w:asciiTheme="majorHAnsi" w:hAnsiTheme="majorHAnsi" w:cstheme="majorHAnsi"/>
              </w:rPr>
            </w:pPr>
          </w:p>
        </w:tc>
        <w:tc>
          <w:tcPr>
            <w:tcW w:w="3601" w:type="dxa"/>
          </w:tcPr>
          <w:p w14:paraId="029A456B" w14:textId="77777777" w:rsidR="00C36A21" w:rsidRDefault="00C36A21" w:rsidP="002A609A">
            <w:pPr>
              <w:pStyle w:val="APDTABLE1"/>
              <w:rPr>
                <w:rFonts w:asciiTheme="majorHAnsi" w:hAnsiTheme="majorHAnsi" w:cstheme="majorHAnsi"/>
              </w:rPr>
            </w:pPr>
          </w:p>
        </w:tc>
      </w:tr>
      <w:tr w:rsidR="00C36A21" w14:paraId="40B424FB" w14:textId="77777777" w:rsidTr="00C36A21">
        <w:trPr>
          <w:cantSplit/>
          <w:trHeight w:val="288"/>
          <w:tblHeader/>
        </w:trPr>
        <w:tc>
          <w:tcPr>
            <w:tcW w:w="3599" w:type="dxa"/>
          </w:tcPr>
          <w:p w14:paraId="23BD1E6C" w14:textId="77777777" w:rsidR="00C36A21" w:rsidRDefault="00C36A21" w:rsidP="002A609A">
            <w:pPr>
              <w:pStyle w:val="APDTABLE1"/>
              <w:rPr>
                <w:rFonts w:asciiTheme="majorHAnsi" w:hAnsiTheme="majorHAnsi" w:cstheme="majorHAnsi"/>
              </w:rPr>
            </w:pPr>
          </w:p>
        </w:tc>
        <w:tc>
          <w:tcPr>
            <w:tcW w:w="3599" w:type="dxa"/>
          </w:tcPr>
          <w:p w14:paraId="2944D9A5" w14:textId="77777777" w:rsidR="00C36A21" w:rsidRDefault="00C36A21" w:rsidP="002A609A">
            <w:pPr>
              <w:pStyle w:val="APDTABLE1"/>
              <w:rPr>
                <w:rFonts w:asciiTheme="majorHAnsi" w:hAnsiTheme="majorHAnsi" w:cstheme="majorHAnsi"/>
              </w:rPr>
            </w:pPr>
          </w:p>
        </w:tc>
        <w:tc>
          <w:tcPr>
            <w:tcW w:w="3601" w:type="dxa"/>
          </w:tcPr>
          <w:p w14:paraId="515E6290" w14:textId="77777777" w:rsidR="00C36A21" w:rsidRDefault="00C36A21" w:rsidP="002A609A">
            <w:pPr>
              <w:pStyle w:val="APDTABLE1"/>
              <w:rPr>
                <w:rFonts w:asciiTheme="majorHAnsi" w:hAnsiTheme="majorHAnsi" w:cstheme="majorHAnsi"/>
              </w:rPr>
            </w:pPr>
          </w:p>
        </w:tc>
        <w:tc>
          <w:tcPr>
            <w:tcW w:w="3601" w:type="dxa"/>
          </w:tcPr>
          <w:p w14:paraId="2CF7FD10" w14:textId="77777777" w:rsidR="00C36A21" w:rsidRDefault="00C36A21" w:rsidP="002A609A">
            <w:pPr>
              <w:pStyle w:val="APDTABLE1"/>
              <w:rPr>
                <w:rFonts w:asciiTheme="majorHAnsi" w:hAnsiTheme="majorHAnsi" w:cstheme="majorHAnsi"/>
              </w:rPr>
            </w:pPr>
          </w:p>
        </w:tc>
      </w:tr>
      <w:tr w:rsidR="00C36A21" w14:paraId="3EEF6D32" w14:textId="77777777" w:rsidTr="00C36A21">
        <w:trPr>
          <w:cantSplit/>
          <w:trHeight w:val="288"/>
          <w:tblHeader/>
        </w:trPr>
        <w:tc>
          <w:tcPr>
            <w:tcW w:w="3599" w:type="dxa"/>
          </w:tcPr>
          <w:p w14:paraId="59FB86AD" w14:textId="77777777" w:rsidR="00C36A21" w:rsidRDefault="00C36A21" w:rsidP="002A609A">
            <w:pPr>
              <w:pStyle w:val="APDTABLE1"/>
              <w:rPr>
                <w:rFonts w:asciiTheme="majorHAnsi" w:hAnsiTheme="majorHAnsi" w:cstheme="majorHAnsi"/>
              </w:rPr>
            </w:pPr>
          </w:p>
        </w:tc>
        <w:tc>
          <w:tcPr>
            <w:tcW w:w="3599" w:type="dxa"/>
          </w:tcPr>
          <w:p w14:paraId="216A7E5B" w14:textId="77777777" w:rsidR="00C36A21" w:rsidRDefault="00C36A21" w:rsidP="002A609A">
            <w:pPr>
              <w:pStyle w:val="APDTABLE1"/>
              <w:rPr>
                <w:rFonts w:asciiTheme="majorHAnsi" w:hAnsiTheme="majorHAnsi" w:cstheme="majorHAnsi"/>
              </w:rPr>
            </w:pPr>
          </w:p>
        </w:tc>
        <w:tc>
          <w:tcPr>
            <w:tcW w:w="3601" w:type="dxa"/>
          </w:tcPr>
          <w:p w14:paraId="0D7E24EE" w14:textId="77777777" w:rsidR="00C36A21" w:rsidRDefault="00C36A21" w:rsidP="002A609A">
            <w:pPr>
              <w:pStyle w:val="APDTABLE1"/>
              <w:rPr>
                <w:rFonts w:asciiTheme="majorHAnsi" w:hAnsiTheme="majorHAnsi" w:cstheme="majorHAnsi"/>
              </w:rPr>
            </w:pPr>
          </w:p>
        </w:tc>
        <w:tc>
          <w:tcPr>
            <w:tcW w:w="3601" w:type="dxa"/>
          </w:tcPr>
          <w:p w14:paraId="3B5B76F5" w14:textId="77777777" w:rsidR="00C36A21" w:rsidRDefault="00C36A21" w:rsidP="002A609A">
            <w:pPr>
              <w:pStyle w:val="APDTABLE1"/>
              <w:rPr>
                <w:rFonts w:asciiTheme="majorHAnsi" w:hAnsiTheme="majorHAnsi" w:cstheme="majorHAnsi"/>
              </w:rPr>
            </w:pPr>
          </w:p>
        </w:tc>
      </w:tr>
      <w:tr w:rsidR="00C36A21" w14:paraId="6FE7CB32" w14:textId="77777777" w:rsidTr="00C36A21">
        <w:trPr>
          <w:cantSplit/>
          <w:trHeight w:val="288"/>
          <w:tblHeader/>
        </w:trPr>
        <w:tc>
          <w:tcPr>
            <w:tcW w:w="3599" w:type="dxa"/>
          </w:tcPr>
          <w:p w14:paraId="023CE8FD" w14:textId="77777777" w:rsidR="00C36A21" w:rsidRDefault="00C36A21" w:rsidP="002A609A">
            <w:pPr>
              <w:pStyle w:val="APDTABLE1"/>
              <w:rPr>
                <w:rFonts w:asciiTheme="majorHAnsi" w:hAnsiTheme="majorHAnsi" w:cstheme="majorHAnsi"/>
              </w:rPr>
            </w:pPr>
          </w:p>
        </w:tc>
        <w:tc>
          <w:tcPr>
            <w:tcW w:w="3599" w:type="dxa"/>
          </w:tcPr>
          <w:p w14:paraId="75C2F2DF" w14:textId="77777777" w:rsidR="00C36A21" w:rsidRDefault="00C36A21" w:rsidP="002A609A">
            <w:pPr>
              <w:pStyle w:val="APDTABLE1"/>
              <w:rPr>
                <w:rFonts w:asciiTheme="majorHAnsi" w:hAnsiTheme="majorHAnsi" w:cstheme="majorHAnsi"/>
              </w:rPr>
            </w:pPr>
          </w:p>
        </w:tc>
        <w:tc>
          <w:tcPr>
            <w:tcW w:w="3601" w:type="dxa"/>
          </w:tcPr>
          <w:p w14:paraId="52EC415C" w14:textId="77777777" w:rsidR="00C36A21" w:rsidRDefault="00C36A21" w:rsidP="002A609A">
            <w:pPr>
              <w:pStyle w:val="APDTABLE1"/>
              <w:rPr>
                <w:rFonts w:asciiTheme="majorHAnsi" w:hAnsiTheme="majorHAnsi" w:cstheme="majorHAnsi"/>
              </w:rPr>
            </w:pPr>
          </w:p>
        </w:tc>
        <w:tc>
          <w:tcPr>
            <w:tcW w:w="3601" w:type="dxa"/>
          </w:tcPr>
          <w:p w14:paraId="4C944A00" w14:textId="77777777" w:rsidR="00C36A21" w:rsidRDefault="00C36A21" w:rsidP="002A609A">
            <w:pPr>
              <w:pStyle w:val="APDTABLE1"/>
              <w:rPr>
                <w:rFonts w:asciiTheme="majorHAnsi" w:hAnsiTheme="majorHAnsi" w:cstheme="majorHAnsi"/>
              </w:rPr>
            </w:pPr>
          </w:p>
        </w:tc>
      </w:tr>
    </w:tbl>
    <w:p w14:paraId="73DEDB7A" w14:textId="4796D653" w:rsidR="00C36A21" w:rsidRDefault="00C36A21" w:rsidP="002A609A">
      <w:pPr>
        <w:pStyle w:val="APDTABLE1"/>
        <w:rPr>
          <w:rFonts w:asciiTheme="majorHAnsi" w:hAnsiTheme="majorHAnsi" w:cstheme="majorHAnsi"/>
        </w:rPr>
      </w:pPr>
    </w:p>
    <w:p w14:paraId="4BF3C655" w14:textId="77777777" w:rsidR="00A35ACB" w:rsidRPr="00DC71B0" w:rsidRDefault="00A35ACB" w:rsidP="00BC6ACF">
      <w:pPr>
        <w:pStyle w:val="HeadLevel1"/>
        <w:jc w:val="left"/>
      </w:pPr>
      <w:r w:rsidRPr="00DC71B0">
        <w:br w:type="page"/>
      </w:r>
    </w:p>
    <w:p w14:paraId="16C7C773" w14:textId="77777777" w:rsidR="00002E2D" w:rsidRPr="00DC71B0" w:rsidRDefault="00002E2D" w:rsidP="00C57E2A">
      <w:pPr>
        <w:pStyle w:val="HeadLevel1"/>
        <w:outlineLvl w:val="0"/>
      </w:pPr>
      <w:r w:rsidRPr="00DC71B0">
        <w:lastRenderedPageBreak/>
        <w:t>Process Heater/Furnace Attributes</w:t>
      </w:r>
    </w:p>
    <w:p w14:paraId="093B32EA" w14:textId="77777777" w:rsidR="00002E2D" w:rsidRPr="00DC71B0" w:rsidRDefault="00002E2D" w:rsidP="00C57E2A">
      <w:pPr>
        <w:pStyle w:val="HeadLevel1"/>
        <w:outlineLvl w:val="0"/>
      </w:pPr>
      <w:r w:rsidRPr="00DC71B0">
        <w:t>Form OP-UA5 (Page 5)</w:t>
      </w:r>
    </w:p>
    <w:p w14:paraId="3F1CEDF6" w14:textId="77777777" w:rsidR="00002E2D" w:rsidRPr="00DC71B0" w:rsidRDefault="00002E2D" w:rsidP="00C57E2A">
      <w:pPr>
        <w:pStyle w:val="HeadLevel1"/>
        <w:outlineLvl w:val="0"/>
      </w:pPr>
      <w:r w:rsidRPr="00DC71B0">
        <w:t>Federal Operating Permit Program</w:t>
      </w:r>
    </w:p>
    <w:p w14:paraId="53E1BDA0" w14:textId="77777777" w:rsidR="00002E2D" w:rsidRPr="00DC71B0" w:rsidRDefault="00002E2D" w:rsidP="00C57E2A">
      <w:pPr>
        <w:pStyle w:val="HeadLevel1"/>
        <w:outlineLvl w:val="0"/>
      </w:pPr>
      <w:bookmarkStart w:id="39" w:name="TBL3a"/>
      <w:r w:rsidRPr="00DC71B0">
        <w:t>Table 3a</w:t>
      </w:r>
      <w:bookmarkEnd w:id="39"/>
      <w:r w:rsidRPr="00DC71B0">
        <w:t>: Title 30 Texas Administrative Code Chapter 117 (30 TAC Chapter 117)</w:t>
      </w:r>
    </w:p>
    <w:p w14:paraId="16347300" w14:textId="77777777" w:rsidR="00002E2D" w:rsidRPr="00DC71B0" w:rsidRDefault="00002E2D" w:rsidP="00C57E2A">
      <w:pPr>
        <w:pStyle w:val="HeadLevel1"/>
        <w:outlineLvl w:val="0"/>
      </w:pPr>
      <w:r w:rsidRPr="00DC71B0">
        <w:t xml:space="preserve">Subchapter B: Combustion Control at Major Industrial, Commercial, and Institutional Sources in </w:t>
      </w:r>
    </w:p>
    <w:p w14:paraId="752C929A" w14:textId="12139268" w:rsidR="00002E2D" w:rsidRDefault="00002E2D" w:rsidP="00C57E2A">
      <w:pPr>
        <w:pStyle w:val="HeadLevel1"/>
        <w:outlineLvl w:val="0"/>
      </w:pPr>
      <w:r w:rsidRPr="00DC71B0">
        <w:t>Ozone Nonattainment Areas, Furnaces</w:t>
      </w:r>
    </w:p>
    <w:p w14:paraId="37CE2E7F" w14:textId="77777777" w:rsidR="000F6684" w:rsidRPr="00DC71B0" w:rsidRDefault="000F6684" w:rsidP="00C57E2A">
      <w:pPr>
        <w:pStyle w:val="HeadLevel1"/>
        <w:outlineLvl w:val="0"/>
      </w:pPr>
      <w:r w:rsidRPr="00DC71B0">
        <w:t>Texas Commission on Environmental Quality</w:t>
      </w:r>
    </w:p>
    <w:p w14:paraId="4A010259" w14:textId="77777777" w:rsidR="006C2FB6" w:rsidRPr="00484AB8" w:rsidRDefault="006C2FB6" w:rsidP="00484AB8">
      <w:pPr>
        <w:spacing w:before="48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30 Texas Administrative Code Chapter 117 (30 TAC Chapter 117) Subchapter B: Combustion Control at Major Industrial, Commercial, and Institutional Sources in &#10;Ozone Nonattainment Areas, Furnaces&#10;&#10;&#10;&#10;"/>
      </w:tblPr>
      <w:tblGrid>
        <w:gridCol w:w="4800"/>
        <w:gridCol w:w="4800"/>
        <w:gridCol w:w="4800"/>
      </w:tblGrid>
      <w:tr w:rsidR="0093034F" w:rsidRPr="00756A95" w14:paraId="42DD809F" w14:textId="77777777" w:rsidTr="00F263FF">
        <w:trPr>
          <w:cantSplit/>
          <w:tblHeader/>
        </w:trPr>
        <w:tc>
          <w:tcPr>
            <w:tcW w:w="4800" w:type="dxa"/>
            <w:shd w:val="clear" w:color="auto" w:fill="D9D9D9" w:themeFill="background1" w:themeFillShade="D9"/>
          </w:tcPr>
          <w:p w14:paraId="1A8D181A"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31E26D65"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568B8E43"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3A15EA23" w14:textId="77777777" w:rsidTr="00F263FF">
        <w:trPr>
          <w:cantSplit/>
          <w:tblHeader/>
        </w:trPr>
        <w:tc>
          <w:tcPr>
            <w:tcW w:w="4800" w:type="dxa"/>
          </w:tcPr>
          <w:p w14:paraId="469C3D43" w14:textId="77777777" w:rsidR="0093034F" w:rsidRDefault="0093034F" w:rsidP="00F263FF">
            <w:pPr>
              <w:rPr>
                <w:rFonts w:asciiTheme="majorHAnsi" w:hAnsiTheme="majorHAnsi" w:cstheme="majorHAnsi"/>
              </w:rPr>
            </w:pPr>
          </w:p>
        </w:tc>
        <w:tc>
          <w:tcPr>
            <w:tcW w:w="4800" w:type="dxa"/>
          </w:tcPr>
          <w:p w14:paraId="72E70396" w14:textId="77777777" w:rsidR="0093034F" w:rsidRDefault="0093034F" w:rsidP="00F263FF">
            <w:pPr>
              <w:rPr>
                <w:rFonts w:asciiTheme="majorHAnsi" w:hAnsiTheme="majorHAnsi" w:cstheme="majorHAnsi"/>
              </w:rPr>
            </w:pPr>
          </w:p>
        </w:tc>
        <w:tc>
          <w:tcPr>
            <w:tcW w:w="4800" w:type="dxa"/>
          </w:tcPr>
          <w:p w14:paraId="23817FF0" w14:textId="77777777" w:rsidR="0093034F" w:rsidRDefault="0093034F" w:rsidP="00F263FF">
            <w:pPr>
              <w:rPr>
                <w:rFonts w:asciiTheme="majorHAnsi" w:hAnsiTheme="majorHAnsi" w:cstheme="majorHAnsi"/>
              </w:rPr>
            </w:pPr>
          </w:p>
        </w:tc>
      </w:tr>
    </w:tbl>
    <w:p w14:paraId="7DFD7499" w14:textId="1B0C12B1"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30 Texas Administrative Code Chapter 117 (30 TAC Chapter 117) Subchapter B: Combustion Control at Major Industrial, Commercial, and Institutional Sources in Ozone Nonattainment Areas, Furnaces&#10;"/>
      </w:tblPr>
      <w:tblGrid>
        <w:gridCol w:w="1600"/>
        <w:gridCol w:w="1600"/>
        <w:gridCol w:w="1600"/>
        <w:gridCol w:w="1600"/>
        <w:gridCol w:w="1600"/>
        <w:gridCol w:w="1600"/>
        <w:gridCol w:w="1600"/>
        <w:gridCol w:w="1600"/>
        <w:gridCol w:w="1600"/>
      </w:tblGrid>
      <w:tr w:rsidR="007A2B45" w14:paraId="360C0B36" w14:textId="77777777" w:rsidTr="007A2B45">
        <w:tc>
          <w:tcPr>
            <w:tcW w:w="1600" w:type="dxa"/>
            <w:shd w:val="clear" w:color="auto" w:fill="D9D9D9" w:themeFill="background1" w:themeFillShade="D9"/>
            <w:vAlign w:val="center"/>
          </w:tcPr>
          <w:p w14:paraId="705959BC" w14:textId="438214B1" w:rsidR="007A2B45" w:rsidRPr="007A2B45" w:rsidRDefault="007A2B45" w:rsidP="007A2B45">
            <w:pPr>
              <w:pStyle w:val="APDTABLE1"/>
              <w:jc w:val="center"/>
              <w:rPr>
                <w:rFonts w:asciiTheme="majorHAnsi" w:hAnsiTheme="majorHAnsi" w:cstheme="majorHAnsi"/>
                <w:sz w:val="20"/>
                <w:szCs w:val="20"/>
              </w:rPr>
            </w:pPr>
            <w:r w:rsidRPr="007A2B45">
              <w:rPr>
                <w:sz w:val="20"/>
                <w:szCs w:val="20"/>
              </w:rPr>
              <w:t>Unit ID No.</w:t>
            </w:r>
          </w:p>
        </w:tc>
        <w:tc>
          <w:tcPr>
            <w:tcW w:w="1600" w:type="dxa"/>
            <w:shd w:val="clear" w:color="auto" w:fill="D9D9D9" w:themeFill="background1" w:themeFillShade="D9"/>
            <w:vAlign w:val="center"/>
          </w:tcPr>
          <w:p w14:paraId="0BDDE7C0" w14:textId="77777777" w:rsidR="007A2B45" w:rsidRDefault="007A2B45" w:rsidP="007A2B45">
            <w:pPr>
              <w:pStyle w:val="APDTABLE1"/>
              <w:jc w:val="center"/>
              <w:rPr>
                <w:sz w:val="20"/>
                <w:szCs w:val="20"/>
              </w:rPr>
            </w:pPr>
            <w:r w:rsidRPr="007A2B45">
              <w:rPr>
                <w:sz w:val="20"/>
                <w:szCs w:val="20"/>
              </w:rPr>
              <w:t>SOP/GOP</w:t>
            </w:r>
          </w:p>
          <w:p w14:paraId="2ED482D9" w14:textId="57F27777" w:rsidR="007A2B45" w:rsidRPr="007A2B45" w:rsidRDefault="007A2B45" w:rsidP="007A2B45">
            <w:pPr>
              <w:pStyle w:val="APDTABLE1"/>
              <w:jc w:val="center"/>
              <w:rPr>
                <w:rFonts w:asciiTheme="majorHAnsi" w:hAnsiTheme="majorHAnsi" w:cstheme="majorHAnsi"/>
                <w:sz w:val="20"/>
                <w:szCs w:val="20"/>
              </w:rPr>
            </w:pPr>
            <w:r w:rsidRPr="007A2B45">
              <w:rPr>
                <w:sz w:val="20"/>
                <w:szCs w:val="20"/>
              </w:rPr>
              <w:t>Index No.</w:t>
            </w:r>
          </w:p>
        </w:tc>
        <w:tc>
          <w:tcPr>
            <w:tcW w:w="1600" w:type="dxa"/>
            <w:shd w:val="clear" w:color="auto" w:fill="D9D9D9" w:themeFill="background1" w:themeFillShade="D9"/>
            <w:vAlign w:val="center"/>
          </w:tcPr>
          <w:p w14:paraId="29AC9AEC" w14:textId="46F025F7" w:rsidR="007A2B45" w:rsidRPr="007A2B45" w:rsidRDefault="007A2B45" w:rsidP="007A2B45">
            <w:pPr>
              <w:pStyle w:val="APDTABLE1"/>
              <w:jc w:val="center"/>
              <w:rPr>
                <w:rFonts w:asciiTheme="majorHAnsi" w:hAnsiTheme="majorHAnsi" w:cstheme="majorHAnsi"/>
                <w:sz w:val="20"/>
                <w:szCs w:val="20"/>
              </w:rPr>
            </w:pPr>
            <w:r w:rsidRPr="007A2B45">
              <w:rPr>
                <w:sz w:val="20"/>
                <w:szCs w:val="20"/>
              </w:rPr>
              <w:t>Unit Type</w:t>
            </w:r>
          </w:p>
        </w:tc>
        <w:tc>
          <w:tcPr>
            <w:tcW w:w="1600" w:type="dxa"/>
            <w:shd w:val="clear" w:color="auto" w:fill="D9D9D9" w:themeFill="background1" w:themeFillShade="D9"/>
            <w:vAlign w:val="center"/>
          </w:tcPr>
          <w:p w14:paraId="5DC00C46" w14:textId="05ED4F2C" w:rsidR="007A2B45" w:rsidRPr="007A2B45" w:rsidRDefault="007A2B45" w:rsidP="007A2B45">
            <w:pPr>
              <w:pStyle w:val="APDTABLE1"/>
              <w:jc w:val="center"/>
              <w:rPr>
                <w:rFonts w:asciiTheme="majorHAnsi" w:hAnsiTheme="majorHAnsi" w:cstheme="majorHAnsi"/>
                <w:sz w:val="20"/>
                <w:szCs w:val="20"/>
              </w:rPr>
            </w:pPr>
            <w:r w:rsidRPr="007A2B45">
              <w:rPr>
                <w:sz w:val="20"/>
                <w:szCs w:val="20"/>
              </w:rPr>
              <w:t>Maximum Rated Capacity</w:t>
            </w:r>
          </w:p>
        </w:tc>
        <w:tc>
          <w:tcPr>
            <w:tcW w:w="1600" w:type="dxa"/>
            <w:shd w:val="clear" w:color="auto" w:fill="D9D9D9" w:themeFill="background1" w:themeFillShade="D9"/>
            <w:vAlign w:val="center"/>
          </w:tcPr>
          <w:p w14:paraId="2BA3D0A4" w14:textId="7C0307AC" w:rsidR="007A2B45" w:rsidRPr="007A2B45" w:rsidRDefault="007A2B45" w:rsidP="007A2B45">
            <w:pPr>
              <w:pStyle w:val="APDTABLE1"/>
              <w:jc w:val="center"/>
              <w:rPr>
                <w:rFonts w:asciiTheme="majorHAnsi" w:hAnsiTheme="majorHAnsi" w:cstheme="majorHAnsi"/>
                <w:sz w:val="20"/>
                <w:szCs w:val="20"/>
              </w:rPr>
            </w:pPr>
            <w:r w:rsidRPr="007A2B45">
              <w:rPr>
                <w:sz w:val="20"/>
                <w:szCs w:val="20"/>
              </w:rPr>
              <w:t>NOx Emission Limitation</w:t>
            </w:r>
          </w:p>
        </w:tc>
        <w:tc>
          <w:tcPr>
            <w:tcW w:w="1600" w:type="dxa"/>
            <w:shd w:val="clear" w:color="auto" w:fill="D9D9D9" w:themeFill="background1" w:themeFillShade="D9"/>
            <w:vAlign w:val="center"/>
          </w:tcPr>
          <w:p w14:paraId="4687FD0B" w14:textId="1B4A56A2" w:rsidR="007A2B45" w:rsidRPr="007A2B45" w:rsidRDefault="007A2B45" w:rsidP="007A2B45">
            <w:pPr>
              <w:pStyle w:val="APDTABLE1"/>
              <w:jc w:val="center"/>
              <w:rPr>
                <w:rFonts w:asciiTheme="majorHAnsi" w:hAnsiTheme="majorHAnsi" w:cstheme="majorHAnsi"/>
                <w:sz w:val="20"/>
                <w:szCs w:val="20"/>
              </w:rPr>
            </w:pPr>
            <w:r w:rsidRPr="007A2B45">
              <w:rPr>
                <w:sz w:val="20"/>
                <w:szCs w:val="20"/>
              </w:rPr>
              <w:t>23C-Option</w:t>
            </w:r>
          </w:p>
        </w:tc>
        <w:tc>
          <w:tcPr>
            <w:tcW w:w="1600" w:type="dxa"/>
            <w:shd w:val="clear" w:color="auto" w:fill="D9D9D9" w:themeFill="background1" w:themeFillShade="D9"/>
            <w:vAlign w:val="center"/>
          </w:tcPr>
          <w:p w14:paraId="6A036430" w14:textId="0DEA5627" w:rsidR="007A2B45" w:rsidRPr="007A2B45" w:rsidRDefault="007A2B45" w:rsidP="007A2B45">
            <w:pPr>
              <w:pStyle w:val="APDTABLE1"/>
              <w:jc w:val="center"/>
              <w:rPr>
                <w:rFonts w:asciiTheme="majorHAnsi" w:hAnsiTheme="majorHAnsi" w:cstheme="majorHAnsi"/>
                <w:sz w:val="20"/>
                <w:szCs w:val="20"/>
              </w:rPr>
            </w:pPr>
            <w:r w:rsidRPr="007A2B45">
              <w:rPr>
                <w:sz w:val="20"/>
                <w:szCs w:val="20"/>
              </w:rPr>
              <w:t>NOx Emission Limit Basis</w:t>
            </w:r>
          </w:p>
        </w:tc>
        <w:tc>
          <w:tcPr>
            <w:tcW w:w="1600" w:type="dxa"/>
            <w:shd w:val="clear" w:color="auto" w:fill="D9D9D9" w:themeFill="background1" w:themeFillShade="D9"/>
            <w:vAlign w:val="center"/>
          </w:tcPr>
          <w:p w14:paraId="1F27736F" w14:textId="71F7CCB7" w:rsidR="007A2B45" w:rsidRPr="007A2B45" w:rsidRDefault="007A2B45" w:rsidP="007A2B45">
            <w:pPr>
              <w:pStyle w:val="APDTABLE1"/>
              <w:jc w:val="center"/>
              <w:rPr>
                <w:rFonts w:asciiTheme="majorHAnsi" w:hAnsiTheme="majorHAnsi" w:cstheme="majorHAnsi"/>
                <w:sz w:val="20"/>
                <w:szCs w:val="20"/>
              </w:rPr>
            </w:pPr>
            <w:r w:rsidRPr="007A2B45">
              <w:rPr>
                <w:sz w:val="20"/>
                <w:szCs w:val="20"/>
              </w:rPr>
              <w:t>NOx Reduction</w:t>
            </w:r>
          </w:p>
        </w:tc>
        <w:tc>
          <w:tcPr>
            <w:tcW w:w="1600" w:type="dxa"/>
            <w:shd w:val="clear" w:color="auto" w:fill="D9D9D9" w:themeFill="background1" w:themeFillShade="D9"/>
            <w:vAlign w:val="center"/>
          </w:tcPr>
          <w:p w14:paraId="478435AD" w14:textId="4A756B50" w:rsidR="007A2B45" w:rsidRPr="007A2B45" w:rsidRDefault="007A2B45" w:rsidP="007A2B45">
            <w:pPr>
              <w:pStyle w:val="APDTABLE1"/>
              <w:jc w:val="center"/>
              <w:rPr>
                <w:rFonts w:asciiTheme="majorHAnsi" w:hAnsiTheme="majorHAnsi" w:cstheme="majorHAnsi"/>
                <w:sz w:val="20"/>
                <w:szCs w:val="20"/>
              </w:rPr>
            </w:pPr>
            <w:r w:rsidRPr="007A2B45">
              <w:rPr>
                <w:sz w:val="20"/>
                <w:szCs w:val="20"/>
              </w:rPr>
              <w:t>NOx Monitoring System</w:t>
            </w:r>
          </w:p>
        </w:tc>
      </w:tr>
      <w:tr w:rsidR="00C36A21" w14:paraId="1D30FF89" w14:textId="77777777" w:rsidTr="007A2B45">
        <w:trPr>
          <w:cantSplit/>
          <w:trHeight w:val="331"/>
        </w:trPr>
        <w:tc>
          <w:tcPr>
            <w:tcW w:w="1600" w:type="dxa"/>
          </w:tcPr>
          <w:p w14:paraId="0716D689" w14:textId="77777777" w:rsidR="00C36A21" w:rsidRDefault="00C36A21" w:rsidP="002A609A">
            <w:pPr>
              <w:pStyle w:val="APDTABLE1"/>
              <w:rPr>
                <w:rFonts w:asciiTheme="majorHAnsi" w:hAnsiTheme="majorHAnsi" w:cstheme="majorHAnsi"/>
              </w:rPr>
            </w:pPr>
          </w:p>
        </w:tc>
        <w:tc>
          <w:tcPr>
            <w:tcW w:w="1600" w:type="dxa"/>
          </w:tcPr>
          <w:p w14:paraId="1230F6ED" w14:textId="77777777" w:rsidR="00C36A21" w:rsidRDefault="00C36A21" w:rsidP="002A609A">
            <w:pPr>
              <w:pStyle w:val="APDTABLE1"/>
              <w:rPr>
                <w:rFonts w:asciiTheme="majorHAnsi" w:hAnsiTheme="majorHAnsi" w:cstheme="majorHAnsi"/>
              </w:rPr>
            </w:pPr>
          </w:p>
        </w:tc>
        <w:tc>
          <w:tcPr>
            <w:tcW w:w="1600" w:type="dxa"/>
          </w:tcPr>
          <w:p w14:paraId="7B7D9B90" w14:textId="77777777" w:rsidR="00C36A21" w:rsidRDefault="00C36A21" w:rsidP="002A609A">
            <w:pPr>
              <w:pStyle w:val="APDTABLE1"/>
              <w:rPr>
                <w:rFonts w:asciiTheme="majorHAnsi" w:hAnsiTheme="majorHAnsi" w:cstheme="majorHAnsi"/>
              </w:rPr>
            </w:pPr>
          </w:p>
        </w:tc>
        <w:tc>
          <w:tcPr>
            <w:tcW w:w="1600" w:type="dxa"/>
          </w:tcPr>
          <w:p w14:paraId="1CC5EFBB" w14:textId="77777777" w:rsidR="00C36A21" w:rsidRDefault="00C36A21" w:rsidP="002A609A">
            <w:pPr>
              <w:pStyle w:val="APDTABLE1"/>
              <w:rPr>
                <w:rFonts w:asciiTheme="majorHAnsi" w:hAnsiTheme="majorHAnsi" w:cstheme="majorHAnsi"/>
              </w:rPr>
            </w:pPr>
          </w:p>
        </w:tc>
        <w:tc>
          <w:tcPr>
            <w:tcW w:w="1600" w:type="dxa"/>
          </w:tcPr>
          <w:p w14:paraId="708A9BB1" w14:textId="77777777" w:rsidR="00C36A21" w:rsidRDefault="00C36A21" w:rsidP="002A609A">
            <w:pPr>
              <w:pStyle w:val="APDTABLE1"/>
              <w:rPr>
                <w:rFonts w:asciiTheme="majorHAnsi" w:hAnsiTheme="majorHAnsi" w:cstheme="majorHAnsi"/>
              </w:rPr>
            </w:pPr>
          </w:p>
        </w:tc>
        <w:tc>
          <w:tcPr>
            <w:tcW w:w="1600" w:type="dxa"/>
          </w:tcPr>
          <w:p w14:paraId="1083CF70" w14:textId="77777777" w:rsidR="00C36A21" w:rsidRDefault="00C36A21" w:rsidP="002A609A">
            <w:pPr>
              <w:pStyle w:val="APDTABLE1"/>
              <w:rPr>
                <w:rFonts w:asciiTheme="majorHAnsi" w:hAnsiTheme="majorHAnsi" w:cstheme="majorHAnsi"/>
              </w:rPr>
            </w:pPr>
          </w:p>
        </w:tc>
        <w:tc>
          <w:tcPr>
            <w:tcW w:w="1600" w:type="dxa"/>
          </w:tcPr>
          <w:p w14:paraId="2BB9B229" w14:textId="77777777" w:rsidR="00C36A21" w:rsidRDefault="00C36A21" w:rsidP="002A609A">
            <w:pPr>
              <w:pStyle w:val="APDTABLE1"/>
              <w:rPr>
                <w:rFonts w:asciiTheme="majorHAnsi" w:hAnsiTheme="majorHAnsi" w:cstheme="majorHAnsi"/>
              </w:rPr>
            </w:pPr>
          </w:p>
        </w:tc>
        <w:tc>
          <w:tcPr>
            <w:tcW w:w="1600" w:type="dxa"/>
          </w:tcPr>
          <w:p w14:paraId="0DF4AAC3" w14:textId="77777777" w:rsidR="00C36A21" w:rsidRDefault="00C36A21" w:rsidP="002A609A">
            <w:pPr>
              <w:pStyle w:val="APDTABLE1"/>
              <w:rPr>
                <w:rFonts w:asciiTheme="majorHAnsi" w:hAnsiTheme="majorHAnsi" w:cstheme="majorHAnsi"/>
              </w:rPr>
            </w:pPr>
          </w:p>
        </w:tc>
        <w:tc>
          <w:tcPr>
            <w:tcW w:w="1600" w:type="dxa"/>
          </w:tcPr>
          <w:p w14:paraId="7E47A279" w14:textId="77777777" w:rsidR="00C36A21" w:rsidRDefault="00C36A21" w:rsidP="002A609A">
            <w:pPr>
              <w:pStyle w:val="APDTABLE1"/>
              <w:rPr>
                <w:rFonts w:asciiTheme="majorHAnsi" w:hAnsiTheme="majorHAnsi" w:cstheme="majorHAnsi"/>
              </w:rPr>
            </w:pPr>
          </w:p>
        </w:tc>
      </w:tr>
      <w:tr w:rsidR="00C36A21" w14:paraId="5693A1C6" w14:textId="77777777" w:rsidTr="007A2B45">
        <w:trPr>
          <w:cantSplit/>
          <w:trHeight w:val="331"/>
        </w:trPr>
        <w:tc>
          <w:tcPr>
            <w:tcW w:w="1600" w:type="dxa"/>
          </w:tcPr>
          <w:p w14:paraId="7BC7DCBE" w14:textId="77777777" w:rsidR="00C36A21" w:rsidRDefault="00C36A21" w:rsidP="002A609A">
            <w:pPr>
              <w:pStyle w:val="APDTABLE1"/>
              <w:rPr>
                <w:rFonts w:asciiTheme="majorHAnsi" w:hAnsiTheme="majorHAnsi" w:cstheme="majorHAnsi"/>
              </w:rPr>
            </w:pPr>
          </w:p>
        </w:tc>
        <w:tc>
          <w:tcPr>
            <w:tcW w:w="1600" w:type="dxa"/>
          </w:tcPr>
          <w:p w14:paraId="3D6C6B25" w14:textId="77777777" w:rsidR="00C36A21" w:rsidRDefault="00C36A21" w:rsidP="002A609A">
            <w:pPr>
              <w:pStyle w:val="APDTABLE1"/>
              <w:rPr>
                <w:rFonts w:asciiTheme="majorHAnsi" w:hAnsiTheme="majorHAnsi" w:cstheme="majorHAnsi"/>
              </w:rPr>
            </w:pPr>
          </w:p>
        </w:tc>
        <w:tc>
          <w:tcPr>
            <w:tcW w:w="1600" w:type="dxa"/>
          </w:tcPr>
          <w:p w14:paraId="035749AE" w14:textId="77777777" w:rsidR="00C36A21" w:rsidRDefault="00C36A21" w:rsidP="002A609A">
            <w:pPr>
              <w:pStyle w:val="APDTABLE1"/>
              <w:rPr>
                <w:rFonts w:asciiTheme="majorHAnsi" w:hAnsiTheme="majorHAnsi" w:cstheme="majorHAnsi"/>
              </w:rPr>
            </w:pPr>
          </w:p>
        </w:tc>
        <w:tc>
          <w:tcPr>
            <w:tcW w:w="1600" w:type="dxa"/>
          </w:tcPr>
          <w:p w14:paraId="46B24684" w14:textId="77777777" w:rsidR="00C36A21" w:rsidRDefault="00C36A21" w:rsidP="002A609A">
            <w:pPr>
              <w:pStyle w:val="APDTABLE1"/>
              <w:rPr>
                <w:rFonts w:asciiTheme="majorHAnsi" w:hAnsiTheme="majorHAnsi" w:cstheme="majorHAnsi"/>
              </w:rPr>
            </w:pPr>
          </w:p>
        </w:tc>
        <w:tc>
          <w:tcPr>
            <w:tcW w:w="1600" w:type="dxa"/>
          </w:tcPr>
          <w:p w14:paraId="40481988" w14:textId="77777777" w:rsidR="00C36A21" w:rsidRDefault="00C36A21" w:rsidP="002A609A">
            <w:pPr>
              <w:pStyle w:val="APDTABLE1"/>
              <w:rPr>
                <w:rFonts w:asciiTheme="majorHAnsi" w:hAnsiTheme="majorHAnsi" w:cstheme="majorHAnsi"/>
              </w:rPr>
            </w:pPr>
          </w:p>
        </w:tc>
        <w:tc>
          <w:tcPr>
            <w:tcW w:w="1600" w:type="dxa"/>
          </w:tcPr>
          <w:p w14:paraId="29085F9B" w14:textId="77777777" w:rsidR="00C36A21" w:rsidRDefault="00C36A21" w:rsidP="002A609A">
            <w:pPr>
              <w:pStyle w:val="APDTABLE1"/>
              <w:rPr>
                <w:rFonts w:asciiTheme="majorHAnsi" w:hAnsiTheme="majorHAnsi" w:cstheme="majorHAnsi"/>
              </w:rPr>
            </w:pPr>
          </w:p>
        </w:tc>
        <w:tc>
          <w:tcPr>
            <w:tcW w:w="1600" w:type="dxa"/>
          </w:tcPr>
          <w:p w14:paraId="4148980C" w14:textId="77777777" w:rsidR="00C36A21" w:rsidRDefault="00C36A21" w:rsidP="002A609A">
            <w:pPr>
              <w:pStyle w:val="APDTABLE1"/>
              <w:rPr>
                <w:rFonts w:asciiTheme="majorHAnsi" w:hAnsiTheme="majorHAnsi" w:cstheme="majorHAnsi"/>
              </w:rPr>
            </w:pPr>
          </w:p>
        </w:tc>
        <w:tc>
          <w:tcPr>
            <w:tcW w:w="1600" w:type="dxa"/>
          </w:tcPr>
          <w:p w14:paraId="18FDDCED" w14:textId="77777777" w:rsidR="00C36A21" w:rsidRDefault="00C36A21" w:rsidP="002A609A">
            <w:pPr>
              <w:pStyle w:val="APDTABLE1"/>
              <w:rPr>
                <w:rFonts w:asciiTheme="majorHAnsi" w:hAnsiTheme="majorHAnsi" w:cstheme="majorHAnsi"/>
              </w:rPr>
            </w:pPr>
          </w:p>
        </w:tc>
        <w:tc>
          <w:tcPr>
            <w:tcW w:w="1600" w:type="dxa"/>
          </w:tcPr>
          <w:p w14:paraId="5E113E65" w14:textId="77777777" w:rsidR="00C36A21" w:rsidRDefault="00C36A21" w:rsidP="002A609A">
            <w:pPr>
              <w:pStyle w:val="APDTABLE1"/>
              <w:rPr>
                <w:rFonts w:asciiTheme="majorHAnsi" w:hAnsiTheme="majorHAnsi" w:cstheme="majorHAnsi"/>
              </w:rPr>
            </w:pPr>
          </w:p>
        </w:tc>
      </w:tr>
      <w:tr w:rsidR="00C36A21" w14:paraId="0D8E421A" w14:textId="77777777" w:rsidTr="007A2B45">
        <w:trPr>
          <w:cantSplit/>
          <w:trHeight w:val="331"/>
        </w:trPr>
        <w:tc>
          <w:tcPr>
            <w:tcW w:w="1600" w:type="dxa"/>
          </w:tcPr>
          <w:p w14:paraId="78B21725" w14:textId="77777777" w:rsidR="00C36A21" w:rsidRDefault="00C36A21" w:rsidP="002A609A">
            <w:pPr>
              <w:pStyle w:val="APDTABLE1"/>
              <w:rPr>
                <w:rFonts w:asciiTheme="majorHAnsi" w:hAnsiTheme="majorHAnsi" w:cstheme="majorHAnsi"/>
              </w:rPr>
            </w:pPr>
          </w:p>
        </w:tc>
        <w:tc>
          <w:tcPr>
            <w:tcW w:w="1600" w:type="dxa"/>
          </w:tcPr>
          <w:p w14:paraId="632EEE0F" w14:textId="77777777" w:rsidR="00C36A21" w:rsidRDefault="00C36A21" w:rsidP="002A609A">
            <w:pPr>
              <w:pStyle w:val="APDTABLE1"/>
              <w:rPr>
                <w:rFonts w:asciiTheme="majorHAnsi" w:hAnsiTheme="majorHAnsi" w:cstheme="majorHAnsi"/>
              </w:rPr>
            </w:pPr>
          </w:p>
        </w:tc>
        <w:tc>
          <w:tcPr>
            <w:tcW w:w="1600" w:type="dxa"/>
          </w:tcPr>
          <w:p w14:paraId="1A6FACF6" w14:textId="77777777" w:rsidR="00C36A21" w:rsidRDefault="00C36A21" w:rsidP="002A609A">
            <w:pPr>
              <w:pStyle w:val="APDTABLE1"/>
              <w:rPr>
                <w:rFonts w:asciiTheme="majorHAnsi" w:hAnsiTheme="majorHAnsi" w:cstheme="majorHAnsi"/>
              </w:rPr>
            </w:pPr>
          </w:p>
        </w:tc>
        <w:tc>
          <w:tcPr>
            <w:tcW w:w="1600" w:type="dxa"/>
          </w:tcPr>
          <w:p w14:paraId="494B2857" w14:textId="77777777" w:rsidR="00C36A21" w:rsidRDefault="00C36A21" w:rsidP="002A609A">
            <w:pPr>
              <w:pStyle w:val="APDTABLE1"/>
              <w:rPr>
                <w:rFonts w:asciiTheme="majorHAnsi" w:hAnsiTheme="majorHAnsi" w:cstheme="majorHAnsi"/>
              </w:rPr>
            </w:pPr>
          </w:p>
        </w:tc>
        <w:tc>
          <w:tcPr>
            <w:tcW w:w="1600" w:type="dxa"/>
          </w:tcPr>
          <w:p w14:paraId="63577CAD" w14:textId="77777777" w:rsidR="00C36A21" w:rsidRDefault="00C36A21" w:rsidP="002A609A">
            <w:pPr>
              <w:pStyle w:val="APDTABLE1"/>
              <w:rPr>
                <w:rFonts w:asciiTheme="majorHAnsi" w:hAnsiTheme="majorHAnsi" w:cstheme="majorHAnsi"/>
              </w:rPr>
            </w:pPr>
          </w:p>
        </w:tc>
        <w:tc>
          <w:tcPr>
            <w:tcW w:w="1600" w:type="dxa"/>
          </w:tcPr>
          <w:p w14:paraId="2E56E858" w14:textId="77777777" w:rsidR="00C36A21" w:rsidRDefault="00C36A21" w:rsidP="002A609A">
            <w:pPr>
              <w:pStyle w:val="APDTABLE1"/>
              <w:rPr>
                <w:rFonts w:asciiTheme="majorHAnsi" w:hAnsiTheme="majorHAnsi" w:cstheme="majorHAnsi"/>
              </w:rPr>
            </w:pPr>
          </w:p>
        </w:tc>
        <w:tc>
          <w:tcPr>
            <w:tcW w:w="1600" w:type="dxa"/>
          </w:tcPr>
          <w:p w14:paraId="571C363C" w14:textId="77777777" w:rsidR="00C36A21" w:rsidRDefault="00C36A21" w:rsidP="002A609A">
            <w:pPr>
              <w:pStyle w:val="APDTABLE1"/>
              <w:rPr>
                <w:rFonts w:asciiTheme="majorHAnsi" w:hAnsiTheme="majorHAnsi" w:cstheme="majorHAnsi"/>
              </w:rPr>
            </w:pPr>
          </w:p>
        </w:tc>
        <w:tc>
          <w:tcPr>
            <w:tcW w:w="1600" w:type="dxa"/>
          </w:tcPr>
          <w:p w14:paraId="70597376" w14:textId="77777777" w:rsidR="00C36A21" w:rsidRDefault="00C36A21" w:rsidP="002A609A">
            <w:pPr>
              <w:pStyle w:val="APDTABLE1"/>
              <w:rPr>
                <w:rFonts w:asciiTheme="majorHAnsi" w:hAnsiTheme="majorHAnsi" w:cstheme="majorHAnsi"/>
              </w:rPr>
            </w:pPr>
          </w:p>
        </w:tc>
        <w:tc>
          <w:tcPr>
            <w:tcW w:w="1600" w:type="dxa"/>
          </w:tcPr>
          <w:p w14:paraId="32AF63A3" w14:textId="77777777" w:rsidR="00C36A21" w:rsidRDefault="00C36A21" w:rsidP="002A609A">
            <w:pPr>
              <w:pStyle w:val="APDTABLE1"/>
              <w:rPr>
                <w:rFonts w:asciiTheme="majorHAnsi" w:hAnsiTheme="majorHAnsi" w:cstheme="majorHAnsi"/>
              </w:rPr>
            </w:pPr>
          </w:p>
        </w:tc>
      </w:tr>
      <w:tr w:rsidR="00C36A21" w14:paraId="6C96828F" w14:textId="77777777" w:rsidTr="007A2B45">
        <w:trPr>
          <w:cantSplit/>
          <w:trHeight w:val="331"/>
        </w:trPr>
        <w:tc>
          <w:tcPr>
            <w:tcW w:w="1600" w:type="dxa"/>
          </w:tcPr>
          <w:p w14:paraId="258AA9C7" w14:textId="77777777" w:rsidR="00C36A21" w:rsidRDefault="00C36A21" w:rsidP="002A609A">
            <w:pPr>
              <w:pStyle w:val="APDTABLE1"/>
              <w:rPr>
                <w:rFonts w:asciiTheme="majorHAnsi" w:hAnsiTheme="majorHAnsi" w:cstheme="majorHAnsi"/>
              </w:rPr>
            </w:pPr>
          </w:p>
        </w:tc>
        <w:tc>
          <w:tcPr>
            <w:tcW w:w="1600" w:type="dxa"/>
          </w:tcPr>
          <w:p w14:paraId="539FF1F6" w14:textId="77777777" w:rsidR="00C36A21" w:rsidRDefault="00C36A21" w:rsidP="002A609A">
            <w:pPr>
              <w:pStyle w:val="APDTABLE1"/>
              <w:rPr>
                <w:rFonts w:asciiTheme="majorHAnsi" w:hAnsiTheme="majorHAnsi" w:cstheme="majorHAnsi"/>
              </w:rPr>
            </w:pPr>
          </w:p>
        </w:tc>
        <w:tc>
          <w:tcPr>
            <w:tcW w:w="1600" w:type="dxa"/>
          </w:tcPr>
          <w:p w14:paraId="3A124CD3" w14:textId="77777777" w:rsidR="00C36A21" w:rsidRDefault="00C36A21" w:rsidP="002A609A">
            <w:pPr>
              <w:pStyle w:val="APDTABLE1"/>
              <w:rPr>
                <w:rFonts w:asciiTheme="majorHAnsi" w:hAnsiTheme="majorHAnsi" w:cstheme="majorHAnsi"/>
              </w:rPr>
            </w:pPr>
          </w:p>
        </w:tc>
        <w:tc>
          <w:tcPr>
            <w:tcW w:w="1600" w:type="dxa"/>
          </w:tcPr>
          <w:p w14:paraId="6B1A080D" w14:textId="77777777" w:rsidR="00C36A21" w:rsidRDefault="00C36A21" w:rsidP="002A609A">
            <w:pPr>
              <w:pStyle w:val="APDTABLE1"/>
              <w:rPr>
                <w:rFonts w:asciiTheme="majorHAnsi" w:hAnsiTheme="majorHAnsi" w:cstheme="majorHAnsi"/>
              </w:rPr>
            </w:pPr>
          </w:p>
        </w:tc>
        <w:tc>
          <w:tcPr>
            <w:tcW w:w="1600" w:type="dxa"/>
          </w:tcPr>
          <w:p w14:paraId="60B3CCE9" w14:textId="77777777" w:rsidR="00C36A21" w:rsidRDefault="00C36A21" w:rsidP="002A609A">
            <w:pPr>
              <w:pStyle w:val="APDTABLE1"/>
              <w:rPr>
                <w:rFonts w:asciiTheme="majorHAnsi" w:hAnsiTheme="majorHAnsi" w:cstheme="majorHAnsi"/>
              </w:rPr>
            </w:pPr>
          </w:p>
        </w:tc>
        <w:tc>
          <w:tcPr>
            <w:tcW w:w="1600" w:type="dxa"/>
          </w:tcPr>
          <w:p w14:paraId="6CC8FFF3" w14:textId="77777777" w:rsidR="00C36A21" w:rsidRDefault="00C36A21" w:rsidP="002A609A">
            <w:pPr>
              <w:pStyle w:val="APDTABLE1"/>
              <w:rPr>
                <w:rFonts w:asciiTheme="majorHAnsi" w:hAnsiTheme="majorHAnsi" w:cstheme="majorHAnsi"/>
              </w:rPr>
            </w:pPr>
          </w:p>
        </w:tc>
        <w:tc>
          <w:tcPr>
            <w:tcW w:w="1600" w:type="dxa"/>
          </w:tcPr>
          <w:p w14:paraId="76101066" w14:textId="77777777" w:rsidR="00C36A21" w:rsidRDefault="00C36A21" w:rsidP="002A609A">
            <w:pPr>
              <w:pStyle w:val="APDTABLE1"/>
              <w:rPr>
                <w:rFonts w:asciiTheme="majorHAnsi" w:hAnsiTheme="majorHAnsi" w:cstheme="majorHAnsi"/>
              </w:rPr>
            </w:pPr>
          </w:p>
        </w:tc>
        <w:tc>
          <w:tcPr>
            <w:tcW w:w="1600" w:type="dxa"/>
          </w:tcPr>
          <w:p w14:paraId="61521476" w14:textId="77777777" w:rsidR="00C36A21" w:rsidRDefault="00C36A21" w:rsidP="002A609A">
            <w:pPr>
              <w:pStyle w:val="APDTABLE1"/>
              <w:rPr>
                <w:rFonts w:asciiTheme="majorHAnsi" w:hAnsiTheme="majorHAnsi" w:cstheme="majorHAnsi"/>
              </w:rPr>
            </w:pPr>
          </w:p>
        </w:tc>
        <w:tc>
          <w:tcPr>
            <w:tcW w:w="1600" w:type="dxa"/>
          </w:tcPr>
          <w:p w14:paraId="24E7D301" w14:textId="77777777" w:rsidR="00C36A21" w:rsidRDefault="00C36A21" w:rsidP="002A609A">
            <w:pPr>
              <w:pStyle w:val="APDTABLE1"/>
              <w:rPr>
                <w:rFonts w:asciiTheme="majorHAnsi" w:hAnsiTheme="majorHAnsi" w:cstheme="majorHAnsi"/>
              </w:rPr>
            </w:pPr>
          </w:p>
        </w:tc>
      </w:tr>
      <w:tr w:rsidR="00C36A21" w14:paraId="114C1CF6" w14:textId="77777777" w:rsidTr="007A2B45">
        <w:trPr>
          <w:cantSplit/>
          <w:trHeight w:val="331"/>
        </w:trPr>
        <w:tc>
          <w:tcPr>
            <w:tcW w:w="1600" w:type="dxa"/>
          </w:tcPr>
          <w:p w14:paraId="651BA6CD" w14:textId="77777777" w:rsidR="00C36A21" w:rsidRDefault="00C36A21" w:rsidP="002A609A">
            <w:pPr>
              <w:pStyle w:val="APDTABLE1"/>
              <w:rPr>
                <w:rFonts w:asciiTheme="majorHAnsi" w:hAnsiTheme="majorHAnsi" w:cstheme="majorHAnsi"/>
              </w:rPr>
            </w:pPr>
          </w:p>
        </w:tc>
        <w:tc>
          <w:tcPr>
            <w:tcW w:w="1600" w:type="dxa"/>
          </w:tcPr>
          <w:p w14:paraId="70DAF43D" w14:textId="77777777" w:rsidR="00C36A21" w:rsidRDefault="00C36A21" w:rsidP="002A609A">
            <w:pPr>
              <w:pStyle w:val="APDTABLE1"/>
              <w:rPr>
                <w:rFonts w:asciiTheme="majorHAnsi" w:hAnsiTheme="majorHAnsi" w:cstheme="majorHAnsi"/>
              </w:rPr>
            </w:pPr>
          </w:p>
        </w:tc>
        <w:tc>
          <w:tcPr>
            <w:tcW w:w="1600" w:type="dxa"/>
          </w:tcPr>
          <w:p w14:paraId="1AD8CC56" w14:textId="77777777" w:rsidR="00C36A21" w:rsidRDefault="00C36A21" w:rsidP="002A609A">
            <w:pPr>
              <w:pStyle w:val="APDTABLE1"/>
              <w:rPr>
                <w:rFonts w:asciiTheme="majorHAnsi" w:hAnsiTheme="majorHAnsi" w:cstheme="majorHAnsi"/>
              </w:rPr>
            </w:pPr>
          </w:p>
        </w:tc>
        <w:tc>
          <w:tcPr>
            <w:tcW w:w="1600" w:type="dxa"/>
          </w:tcPr>
          <w:p w14:paraId="0A23C29B" w14:textId="77777777" w:rsidR="00C36A21" w:rsidRDefault="00C36A21" w:rsidP="002A609A">
            <w:pPr>
              <w:pStyle w:val="APDTABLE1"/>
              <w:rPr>
                <w:rFonts w:asciiTheme="majorHAnsi" w:hAnsiTheme="majorHAnsi" w:cstheme="majorHAnsi"/>
              </w:rPr>
            </w:pPr>
          </w:p>
        </w:tc>
        <w:tc>
          <w:tcPr>
            <w:tcW w:w="1600" w:type="dxa"/>
          </w:tcPr>
          <w:p w14:paraId="18ED731A" w14:textId="77777777" w:rsidR="00C36A21" w:rsidRDefault="00C36A21" w:rsidP="002A609A">
            <w:pPr>
              <w:pStyle w:val="APDTABLE1"/>
              <w:rPr>
                <w:rFonts w:asciiTheme="majorHAnsi" w:hAnsiTheme="majorHAnsi" w:cstheme="majorHAnsi"/>
              </w:rPr>
            </w:pPr>
          </w:p>
        </w:tc>
        <w:tc>
          <w:tcPr>
            <w:tcW w:w="1600" w:type="dxa"/>
          </w:tcPr>
          <w:p w14:paraId="68656829" w14:textId="77777777" w:rsidR="00C36A21" w:rsidRDefault="00C36A21" w:rsidP="002A609A">
            <w:pPr>
              <w:pStyle w:val="APDTABLE1"/>
              <w:rPr>
                <w:rFonts w:asciiTheme="majorHAnsi" w:hAnsiTheme="majorHAnsi" w:cstheme="majorHAnsi"/>
              </w:rPr>
            </w:pPr>
          </w:p>
        </w:tc>
        <w:tc>
          <w:tcPr>
            <w:tcW w:w="1600" w:type="dxa"/>
          </w:tcPr>
          <w:p w14:paraId="1559E42F" w14:textId="77777777" w:rsidR="00C36A21" w:rsidRDefault="00C36A21" w:rsidP="002A609A">
            <w:pPr>
              <w:pStyle w:val="APDTABLE1"/>
              <w:rPr>
                <w:rFonts w:asciiTheme="majorHAnsi" w:hAnsiTheme="majorHAnsi" w:cstheme="majorHAnsi"/>
              </w:rPr>
            </w:pPr>
          </w:p>
        </w:tc>
        <w:tc>
          <w:tcPr>
            <w:tcW w:w="1600" w:type="dxa"/>
          </w:tcPr>
          <w:p w14:paraId="34939925" w14:textId="77777777" w:rsidR="00C36A21" w:rsidRDefault="00C36A21" w:rsidP="002A609A">
            <w:pPr>
              <w:pStyle w:val="APDTABLE1"/>
              <w:rPr>
                <w:rFonts w:asciiTheme="majorHAnsi" w:hAnsiTheme="majorHAnsi" w:cstheme="majorHAnsi"/>
              </w:rPr>
            </w:pPr>
          </w:p>
        </w:tc>
        <w:tc>
          <w:tcPr>
            <w:tcW w:w="1600" w:type="dxa"/>
          </w:tcPr>
          <w:p w14:paraId="1D66F184" w14:textId="77777777" w:rsidR="00C36A21" w:rsidRDefault="00C36A21" w:rsidP="002A609A">
            <w:pPr>
              <w:pStyle w:val="APDTABLE1"/>
              <w:rPr>
                <w:rFonts w:asciiTheme="majorHAnsi" w:hAnsiTheme="majorHAnsi" w:cstheme="majorHAnsi"/>
              </w:rPr>
            </w:pPr>
          </w:p>
        </w:tc>
      </w:tr>
      <w:tr w:rsidR="00C36A21" w14:paraId="39186DA3" w14:textId="77777777" w:rsidTr="007A2B45">
        <w:trPr>
          <w:cantSplit/>
          <w:trHeight w:val="331"/>
        </w:trPr>
        <w:tc>
          <w:tcPr>
            <w:tcW w:w="1600" w:type="dxa"/>
          </w:tcPr>
          <w:p w14:paraId="2FFFD233" w14:textId="77777777" w:rsidR="00C36A21" w:rsidRDefault="00C36A21" w:rsidP="002A609A">
            <w:pPr>
              <w:pStyle w:val="APDTABLE1"/>
              <w:rPr>
                <w:rFonts w:asciiTheme="majorHAnsi" w:hAnsiTheme="majorHAnsi" w:cstheme="majorHAnsi"/>
              </w:rPr>
            </w:pPr>
          </w:p>
        </w:tc>
        <w:tc>
          <w:tcPr>
            <w:tcW w:w="1600" w:type="dxa"/>
          </w:tcPr>
          <w:p w14:paraId="042FB749" w14:textId="77777777" w:rsidR="00C36A21" w:rsidRDefault="00C36A21" w:rsidP="002A609A">
            <w:pPr>
              <w:pStyle w:val="APDTABLE1"/>
              <w:rPr>
                <w:rFonts w:asciiTheme="majorHAnsi" w:hAnsiTheme="majorHAnsi" w:cstheme="majorHAnsi"/>
              </w:rPr>
            </w:pPr>
          </w:p>
        </w:tc>
        <w:tc>
          <w:tcPr>
            <w:tcW w:w="1600" w:type="dxa"/>
          </w:tcPr>
          <w:p w14:paraId="35972D4F" w14:textId="77777777" w:rsidR="00C36A21" w:rsidRDefault="00C36A21" w:rsidP="002A609A">
            <w:pPr>
              <w:pStyle w:val="APDTABLE1"/>
              <w:rPr>
                <w:rFonts w:asciiTheme="majorHAnsi" w:hAnsiTheme="majorHAnsi" w:cstheme="majorHAnsi"/>
              </w:rPr>
            </w:pPr>
          </w:p>
        </w:tc>
        <w:tc>
          <w:tcPr>
            <w:tcW w:w="1600" w:type="dxa"/>
          </w:tcPr>
          <w:p w14:paraId="03B1F59C" w14:textId="77777777" w:rsidR="00C36A21" w:rsidRDefault="00C36A21" w:rsidP="002A609A">
            <w:pPr>
              <w:pStyle w:val="APDTABLE1"/>
              <w:rPr>
                <w:rFonts w:asciiTheme="majorHAnsi" w:hAnsiTheme="majorHAnsi" w:cstheme="majorHAnsi"/>
              </w:rPr>
            </w:pPr>
          </w:p>
        </w:tc>
        <w:tc>
          <w:tcPr>
            <w:tcW w:w="1600" w:type="dxa"/>
          </w:tcPr>
          <w:p w14:paraId="5D282734" w14:textId="77777777" w:rsidR="00C36A21" w:rsidRDefault="00C36A21" w:rsidP="002A609A">
            <w:pPr>
              <w:pStyle w:val="APDTABLE1"/>
              <w:rPr>
                <w:rFonts w:asciiTheme="majorHAnsi" w:hAnsiTheme="majorHAnsi" w:cstheme="majorHAnsi"/>
              </w:rPr>
            </w:pPr>
          </w:p>
        </w:tc>
        <w:tc>
          <w:tcPr>
            <w:tcW w:w="1600" w:type="dxa"/>
          </w:tcPr>
          <w:p w14:paraId="6874E54F" w14:textId="77777777" w:rsidR="00C36A21" w:rsidRDefault="00C36A21" w:rsidP="002A609A">
            <w:pPr>
              <w:pStyle w:val="APDTABLE1"/>
              <w:rPr>
                <w:rFonts w:asciiTheme="majorHAnsi" w:hAnsiTheme="majorHAnsi" w:cstheme="majorHAnsi"/>
              </w:rPr>
            </w:pPr>
          </w:p>
        </w:tc>
        <w:tc>
          <w:tcPr>
            <w:tcW w:w="1600" w:type="dxa"/>
          </w:tcPr>
          <w:p w14:paraId="678DE55C" w14:textId="77777777" w:rsidR="00C36A21" w:rsidRDefault="00C36A21" w:rsidP="002A609A">
            <w:pPr>
              <w:pStyle w:val="APDTABLE1"/>
              <w:rPr>
                <w:rFonts w:asciiTheme="majorHAnsi" w:hAnsiTheme="majorHAnsi" w:cstheme="majorHAnsi"/>
              </w:rPr>
            </w:pPr>
          </w:p>
        </w:tc>
        <w:tc>
          <w:tcPr>
            <w:tcW w:w="1600" w:type="dxa"/>
          </w:tcPr>
          <w:p w14:paraId="49A4D635" w14:textId="77777777" w:rsidR="00C36A21" w:rsidRDefault="00C36A21" w:rsidP="002A609A">
            <w:pPr>
              <w:pStyle w:val="APDTABLE1"/>
              <w:rPr>
                <w:rFonts w:asciiTheme="majorHAnsi" w:hAnsiTheme="majorHAnsi" w:cstheme="majorHAnsi"/>
              </w:rPr>
            </w:pPr>
          </w:p>
        </w:tc>
        <w:tc>
          <w:tcPr>
            <w:tcW w:w="1600" w:type="dxa"/>
          </w:tcPr>
          <w:p w14:paraId="53BA9CA6" w14:textId="77777777" w:rsidR="00C36A21" w:rsidRDefault="00C36A21" w:rsidP="002A609A">
            <w:pPr>
              <w:pStyle w:val="APDTABLE1"/>
              <w:rPr>
                <w:rFonts w:asciiTheme="majorHAnsi" w:hAnsiTheme="majorHAnsi" w:cstheme="majorHAnsi"/>
              </w:rPr>
            </w:pPr>
          </w:p>
        </w:tc>
      </w:tr>
      <w:tr w:rsidR="00C36A21" w14:paraId="2B5197EC" w14:textId="77777777" w:rsidTr="007A2B45">
        <w:trPr>
          <w:cantSplit/>
          <w:trHeight w:val="331"/>
        </w:trPr>
        <w:tc>
          <w:tcPr>
            <w:tcW w:w="1600" w:type="dxa"/>
          </w:tcPr>
          <w:p w14:paraId="7932DE2D" w14:textId="77777777" w:rsidR="00C36A21" w:rsidRDefault="00C36A21" w:rsidP="002A609A">
            <w:pPr>
              <w:pStyle w:val="APDTABLE1"/>
              <w:rPr>
                <w:rFonts w:asciiTheme="majorHAnsi" w:hAnsiTheme="majorHAnsi" w:cstheme="majorHAnsi"/>
              </w:rPr>
            </w:pPr>
          </w:p>
        </w:tc>
        <w:tc>
          <w:tcPr>
            <w:tcW w:w="1600" w:type="dxa"/>
          </w:tcPr>
          <w:p w14:paraId="2F826DFE" w14:textId="77777777" w:rsidR="00C36A21" w:rsidRDefault="00C36A21" w:rsidP="002A609A">
            <w:pPr>
              <w:pStyle w:val="APDTABLE1"/>
              <w:rPr>
                <w:rFonts w:asciiTheme="majorHAnsi" w:hAnsiTheme="majorHAnsi" w:cstheme="majorHAnsi"/>
              </w:rPr>
            </w:pPr>
          </w:p>
        </w:tc>
        <w:tc>
          <w:tcPr>
            <w:tcW w:w="1600" w:type="dxa"/>
          </w:tcPr>
          <w:p w14:paraId="39C276AD" w14:textId="77777777" w:rsidR="00C36A21" w:rsidRDefault="00C36A21" w:rsidP="002A609A">
            <w:pPr>
              <w:pStyle w:val="APDTABLE1"/>
              <w:rPr>
                <w:rFonts w:asciiTheme="majorHAnsi" w:hAnsiTheme="majorHAnsi" w:cstheme="majorHAnsi"/>
              </w:rPr>
            </w:pPr>
          </w:p>
        </w:tc>
        <w:tc>
          <w:tcPr>
            <w:tcW w:w="1600" w:type="dxa"/>
          </w:tcPr>
          <w:p w14:paraId="744F96AC" w14:textId="77777777" w:rsidR="00C36A21" w:rsidRDefault="00C36A21" w:rsidP="002A609A">
            <w:pPr>
              <w:pStyle w:val="APDTABLE1"/>
              <w:rPr>
                <w:rFonts w:asciiTheme="majorHAnsi" w:hAnsiTheme="majorHAnsi" w:cstheme="majorHAnsi"/>
              </w:rPr>
            </w:pPr>
          </w:p>
        </w:tc>
        <w:tc>
          <w:tcPr>
            <w:tcW w:w="1600" w:type="dxa"/>
          </w:tcPr>
          <w:p w14:paraId="2C543DCB" w14:textId="77777777" w:rsidR="00C36A21" w:rsidRDefault="00C36A21" w:rsidP="002A609A">
            <w:pPr>
              <w:pStyle w:val="APDTABLE1"/>
              <w:rPr>
                <w:rFonts w:asciiTheme="majorHAnsi" w:hAnsiTheme="majorHAnsi" w:cstheme="majorHAnsi"/>
              </w:rPr>
            </w:pPr>
          </w:p>
        </w:tc>
        <w:tc>
          <w:tcPr>
            <w:tcW w:w="1600" w:type="dxa"/>
          </w:tcPr>
          <w:p w14:paraId="36D37195" w14:textId="77777777" w:rsidR="00C36A21" w:rsidRDefault="00C36A21" w:rsidP="002A609A">
            <w:pPr>
              <w:pStyle w:val="APDTABLE1"/>
              <w:rPr>
                <w:rFonts w:asciiTheme="majorHAnsi" w:hAnsiTheme="majorHAnsi" w:cstheme="majorHAnsi"/>
              </w:rPr>
            </w:pPr>
          </w:p>
        </w:tc>
        <w:tc>
          <w:tcPr>
            <w:tcW w:w="1600" w:type="dxa"/>
          </w:tcPr>
          <w:p w14:paraId="68B93CFD" w14:textId="77777777" w:rsidR="00C36A21" w:rsidRDefault="00C36A21" w:rsidP="002A609A">
            <w:pPr>
              <w:pStyle w:val="APDTABLE1"/>
              <w:rPr>
                <w:rFonts w:asciiTheme="majorHAnsi" w:hAnsiTheme="majorHAnsi" w:cstheme="majorHAnsi"/>
              </w:rPr>
            </w:pPr>
          </w:p>
        </w:tc>
        <w:tc>
          <w:tcPr>
            <w:tcW w:w="1600" w:type="dxa"/>
          </w:tcPr>
          <w:p w14:paraId="2565AA47" w14:textId="77777777" w:rsidR="00C36A21" w:rsidRDefault="00C36A21" w:rsidP="002A609A">
            <w:pPr>
              <w:pStyle w:val="APDTABLE1"/>
              <w:rPr>
                <w:rFonts w:asciiTheme="majorHAnsi" w:hAnsiTheme="majorHAnsi" w:cstheme="majorHAnsi"/>
              </w:rPr>
            </w:pPr>
          </w:p>
        </w:tc>
        <w:tc>
          <w:tcPr>
            <w:tcW w:w="1600" w:type="dxa"/>
          </w:tcPr>
          <w:p w14:paraId="48421CA4" w14:textId="77777777" w:rsidR="00C36A21" w:rsidRDefault="00C36A21" w:rsidP="002A609A">
            <w:pPr>
              <w:pStyle w:val="APDTABLE1"/>
              <w:rPr>
                <w:rFonts w:asciiTheme="majorHAnsi" w:hAnsiTheme="majorHAnsi" w:cstheme="majorHAnsi"/>
              </w:rPr>
            </w:pPr>
          </w:p>
        </w:tc>
      </w:tr>
      <w:tr w:rsidR="00C36A21" w14:paraId="65508186" w14:textId="77777777" w:rsidTr="007A2B45">
        <w:trPr>
          <w:cantSplit/>
          <w:trHeight w:val="331"/>
        </w:trPr>
        <w:tc>
          <w:tcPr>
            <w:tcW w:w="1600" w:type="dxa"/>
          </w:tcPr>
          <w:p w14:paraId="743DF220" w14:textId="77777777" w:rsidR="00C36A21" w:rsidRDefault="00C36A21" w:rsidP="002A609A">
            <w:pPr>
              <w:pStyle w:val="APDTABLE1"/>
              <w:rPr>
                <w:rFonts w:asciiTheme="majorHAnsi" w:hAnsiTheme="majorHAnsi" w:cstheme="majorHAnsi"/>
              </w:rPr>
            </w:pPr>
          </w:p>
        </w:tc>
        <w:tc>
          <w:tcPr>
            <w:tcW w:w="1600" w:type="dxa"/>
          </w:tcPr>
          <w:p w14:paraId="077EBB13" w14:textId="77777777" w:rsidR="00C36A21" w:rsidRDefault="00C36A21" w:rsidP="002A609A">
            <w:pPr>
              <w:pStyle w:val="APDTABLE1"/>
              <w:rPr>
                <w:rFonts w:asciiTheme="majorHAnsi" w:hAnsiTheme="majorHAnsi" w:cstheme="majorHAnsi"/>
              </w:rPr>
            </w:pPr>
          </w:p>
        </w:tc>
        <w:tc>
          <w:tcPr>
            <w:tcW w:w="1600" w:type="dxa"/>
          </w:tcPr>
          <w:p w14:paraId="23DB8EB6" w14:textId="77777777" w:rsidR="00C36A21" w:rsidRDefault="00C36A21" w:rsidP="002A609A">
            <w:pPr>
              <w:pStyle w:val="APDTABLE1"/>
              <w:rPr>
                <w:rFonts w:asciiTheme="majorHAnsi" w:hAnsiTheme="majorHAnsi" w:cstheme="majorHAnsi"/>
              </w:rPr>
            </w:pPr>
          </w:p>
        </w:tc>
        <w:tc>
          <w:tcPr>
            <w:tcW w:w="1600" w:type="dxa"/>
          </w:tcPr>
          <w:p w14:paraId="38FEA88B" w14:textId="77777777" w:rsidR="00C36A21" w:rsidRDefault="00C36A21" w:rsidP="002A609A">
            <w:pPr>
              <w:pStyle w:val="APDTABLE1"/>
              <w:rPr>
                <w:rFonts w:asciiTheme="majorHAnsi" w:hAnsiTheme="majorHAnsi" w:cstheme="majorHAnsi"/>
              </w:rPr>
            </w:pPr>
          </w:p>
        </w:tc>
        <w:tc>
          <w:tcPr>
            <w:tcW w:w="1600" w:type="dxa"/>
          </w:tcPr>
          <w:p w14:paraId="1C94C0D4" w14:textId="77777777" w:rsidR="00C36A21" w:rsidRDefault="00C36A21" w:rsidP="002A609A">
            <w:pPr>
              <w:pStyle w:val="APDTABLE1"/>
              <w:rPr>
                <w:rFonts w:asciiTheme="majorHAnsi" w:hAnsiTheme="majorHAnsi" w:cstheme="majorHAnsi"/>
              </w:rPr>
            </w:pPr>
          </w:p>
        </w:tc>
        <w:tc>
          <w:tcPr>
            <w:tcW w:w="1600" w:type="dxa"/>
          </w:tcPr>
          <w:p w14:paraId="11B640D0" w14:textId="77777777" w:rsidR="00C36A21" w:rsidRDefault="00C36A21" w:rsidP="002A609A">
            <w:pPr>
              <w:pStyle w:val="APDTABLE1"/>
              <w:rPr>
                <w:rFonts w:asciiTheme="majorHAnsi" w:hAnsiTheme="majorHAnsi" w:cstheme="majorHAnsi"/>
              </w:rPr>
            </w:pPr>
          </w:p>
        </w:tc>
        <w:tc>
          <w:tcPr>
            <w:tcW w:w="1600" w:type="dxa"/>
          </w:tcPr>
          <w:p w14:paraId="17E11D18" w14:textId="77777777" w:rsidR="00C36A21" w:rsidRDefault="00C36A21" w:rsidP="002A609A">
            <w:pPr>
              <w:pStyle w:val="APDTABLE1"/>
              <w:rPr>
                <w:rFonts w:asciiTheme="majorHAnsi" w:hAnsiTheme="majorHAnsi" w:cstheme="majorHAnsi"/>
              </w:rPr>
            </w:pPr>
          </w:p>
        </w:tc>
        <w:tc>
          <w:tcPr>
            <w:tcW w:w="1600" w:type="dxa"/>
          </w:tcPr>
          <w:p w14:paraId="3225D7AB" w14:textId="77777777" w:rsidR="00C36A21" w:rsidRDefault="00C36A21" w:rsidP="002A609A">
            <w:pPr>
              <w:pStyle w:val="APDTABLE1"/>
              <w:rPr>
                <w:rFonts w:asciiTheme="majorHAnsi" w:hAnsiTheme="majorHAnsi" w:cstheme="majorHAnsi"/>
              </w:rPr>
            </w:pPr>
          </w:p>
        </w:tc>
        <w:tc>
          <w:tcPr>
            <w:tcW w:w="1600" w:type="dxa"/>
          </w:tcPr>
          <w:p w14:paraId="70CF8C91" w14:textId="77777777" w:rsidR="00C36A21" w:rsidRDefault="00C36A21" w:rsidP="002A609A">
            <w:pPr>
              <w:pStyle w:val="APDTABLE1"/>
              <w:rPr>
                <w:rFonts w:asciiTheme="majorHAnsi" w:hAnsiTheme="majorHAnsi" w:cstheme="majorHAnsi"/>
              </w:rPr>
            </w:pPr>
          </w:p>
        </w:tc>
      </w:tr>
      <w:tr w:rsidR="00C36A21" w14:paraId="00A6E2BB" w14:textId="77777777" w:rsidTr="007A2B45">
        <w:trPr>
          <w:cantSplit/>
          <w:trHeight w:val="331"/>
        </w:trPr>
        <w:tc>
          <w:tcPr>
            <w:tcW w:w="1600" w:type="dxa"/>
          </w:tcPr>
          <w:p w14:paraId="5C85CC6B" w14:textId="77777777" w:rsidR="00C36A21" w:rsidRDefault="00C36A21" w:rsidP="002A609A">
            <w:pPr>
              <w:pStyle w:val="APDTABLE1"/>
              <w:rPr>
                <w:rFonts w:asciiTheme="majorHAnsi" w:hAnsiTheme="majorHAnsi" w:cstheme="majorHAnsi"/>
              </w:rPr>
            </w:pPr>
          </w:p>
        </w:tc>
        <w:tc>
          <w:tcPr>
            <w:tcW w:w="1600" w:type="dxa"/>
          </w:tcPr>
          <w:p w14:paraId="13FFFD70" w14:textId="77777777" w:rsidR="00C36A21" w:rsidRDefault="00C36A21" w:rsidP="002A609A">
            <w:pPr>
              <w:pStyle w:val="APDTABLE1"/>
              <w:rPr>
                <w:rFonts w:asciiTheme="majorHAnsi" w:hAnsiTheme="majorHAnsi" w:cstheme="majorHAnsi"/>
              </w:rPr>
            </w:pPr>
          </w:p>
        </w:tc>
        <w:tc>
          <w:tcPr>
            <w:tcW w:w="1600" w:type="dxa"/>
          </w:tcPr>
          <w:p w14:paraId="5EAA7FFC" w14:textId="77777777" w:rsidR="00C36A21" w:rsidRDefault="00C36A21" w:rsidP="002A609A">
            <w:pPr>
              <w:pStyle w:val="APDTABLE1"/>
              <w:rPr>
                <w:rFonts w:asciiTheme="majorHAnsi" w:hAnsiTheme="majorHAnsi" w:cstheme="majorHAnsi"/>
              </w:rPr>
            </w:pPr>
          </w:p>
        </w:tc>
        <w:tc>
          <w:tcPr>
            <w:tcW w:w="1600" w:type="dxa"/>
          </w:tcPr>
          <w:p w14:paraId="4DFCDFA1" w14:textId="77777777" w:rsidR="00C36A21" w:rsidRDefault="00C36A21" w:rsidP="002A609A">
            <w:pPr>
              <w:pStyle w:val="APDTABLE1"/>
              <w:rPr>
                <w:rFonts w:asciiTheme="majorHAnsi" w:hAnsiTheme="majorHAnsi" w:cstheme="majorHAnsi"/>
              </w:rPr>
            </w:pPr>
          </w:p>
        </w:tc>
        <w:tc>
          <w:tcPr>
            <w:tcW w:w="1600" w:type="dxa"/>
          </w:tcPr>
          <w:p w14:paraId="791C11B4" w14:textId="77777777" w:rsidR="00C36A21" w:rsidRDefault="00C36A21" w:rsidP="002A609A">
            <w:pPr>
              <w:pStyle w:val="APDTABLE1"/>
              <w:rPr>
                <w:rFonts w:asciiTheme="majorHAnsi" w:hAnsiTheme="majorHAnsi" w:cstheme="majorHAnsi"/>
              </w:rPr>
            </w:pPr>
          </w:p>
        </w:tc>
        <w:tc>
          <w:tcPr>
            <w:tcW w:w="1600" w:type="dxa"/>
          </w:tcPr>
          <w:p w14:paraId="44E02E03" w14:textId="77777777" w:rsidR="00C36A21" w:rsidRDefault="00C36A21" w:rsidP="002A609A">
            <w:pPr>
              <w:pStyle w:val="APDTABLE1"/>
              <w:rPr>
                <w:rFonts w:asciiTheme="majorHAnsi" w:hAnsiTheme="majorHAnsi" w:cstheme="majorHAnsi"/>
              </w:rPr>
            </w:pPr>
          </w:p>
        </w:tc>
        <w:tc>
          <w:tcPr>
            <w:tcW w:w="1600" w:type="dxa"/>
          </w:tcPr>
          <w:p w14:paraId="6751FA3C" w14:textId="77777777" w:rsidR="00C36A21" w:rsidRDefault="00C36A21" w:rsidP="002A609A">
            <w:pPr>
              <w:pStyle w:val="APDTABLE1"/>
              <w:rPr>
                <w:rFonts w:asciiTheme="majorHAnsi" w:hAnsiTheme="majorHAnsi" w:cstheme="majorHAnsi"/>
              </w:rPr>
            </w:pPr>
          </w:p>
        </w:tc>
        <w:tc>
          <w:tcPr>
            <w:tcW w:w="1600" w:type="dxa"/>
          </w:tcPr>
          <w:p w14:paraId="4EF9C522" w14:textId="77777777" w:rsidR="00C36A21" w:rsidRDefault="00C36A21" w:rsidP="002A609A">
            <w:pPr>
              <w:pStyle w:val="APDTABLE1"/>
              <w:rPr>
                <w:rFonts w:asciiTheme="majorHAnsi" w:hAnsiTheme="majorHAnsi" w:cstheme="majorHAnsi"/>
              </w:rPr>
            </w:pPr>
          </w:p>
        </w:tc>
        <w:tc>
          <w:tcPr>
            <w:tcW w:w="1600" w:type="dxa"/>
          </w:tcPr>
          <w:p w14:paraId="5F0C946C" w14:textId="77777777" w:rsidR="00C36A21" w:rsidRDefault="00C36A21" w:rsidP="002A609A">
            <w:pPr>
              <w:pStyle w:val="APDTABLE1"/>
              <w:rPr>
                <w:rFonts w:asciiTheme="majorHAnsi" w:hAnsiTheme="majorHAnsi" w:cstheme="majorHAnsi"/>
              </w:rPr>
            </w:pPr>
          </w:p>
        </w:tc>
      </w:tr>
      <w:tr w:rsidR="00C36A21" w14:paraId="0E667B2E" w14:textId="77777777" w:rsidTr="007A2B45">
        <w:trPr>
          <w:cantSplit/>
          <w:trHeight w:val="331"/>
        </w:trPr>
        <w:tc>
          <w:tcPr>
            <w:tcW w:w="1600" w:type="dxa"/>
          </w:tcPr>
          <w:p w14:paraId="1D54DE34" w14:textId="77777777" w:rsidR="00C36A21" w:rsidRDefault="00C36A21" w:rsidP="002A609A">
            <w:pPr>
              <w:pStyle w:val="APDTABLE1"/>
              <w:rPr>
                <w:rFonts w:asciiTheme="majorHAnsi" w:hAnsiTheme="majorHAnsi" w:cstheme="majorHAnsi"/>
              </w:rPr>
            </w:pPr>
          </w:p>
        </w:tc>
        <w:tc>
          <w:tcPr>
            <w:tcW w:w="1600" w:type="dxa"/>
          </w:tcPr>
          <w:p w14:paraId="5BDD2231" w14:textId="77777777" w:rsidR="00C36A21" w:rsidRDefault="00C36A21" w:rsidP="002A609A">
            <w:pPr>
              <w:pStyle w:val="APDTABLE1"/>
              <w:rPr>
                <w:rFonts w:asciiTheme="majorHAnsi" w:hAnsiTheme="majorHAnsi" w:cstheme="majorHAnsi"/>
              </w:rPr>
            </w:pPr>
          </w:p>
        </w:tc>
        <w:tc>
          <w:tcPr>
            <w:tcW w:w="1600" w:type="dxa"/>
          </w:tcPr>
          <w:p w14:paraId="4D75AB12" w14:textId="77777777" w:rsidR="00C36A21" w:rsidRDefault="00C36A21" w:rsidP="002A609A">
            <w:pPr>
              <w:pStyle w:val="APDTABLE1"/>
              <w:rPr>
                <w:rFonts w:asciiTheme="majorHAnsi" w:hAnsiTheme="majorHAnsi" w:cstheme="majorHAnsi"/>
              </w:rPr>
            </w:pPr>
          </w:p>
        </w:tc>
        <w:tc>
          <w:tcPr>
            <w:tcW w:w="1600" w:type="dxa"/>
          </w:tcPr>
          <w:p w14:paraId="3630BE09" w14:textId="77777777" w:rsidR="00C36A21" w:rsidRDefault="00C36A21" w:rsidP="002A609A">
            <w:pPr>
              <w:pStyle w:val="APDTABLE1"/>
              <w:rPr>
                <w:rFonts w:asciiTheme="majorHAnsi" w:hAnsiTheme="majorHAnsi" w:cstheme="majorHAnsi"/>
              </w:rPr>
            </w:pPr>
          </w:p>
        </w:tc>
        <w:tc>
          <w:tcPr>
            <w:tcW w:w="1600" w:type="dxa"/>
          </w:tcPr>
          <w:p w14:paraId="06F739B6" w14:textId="77777777" w:rsidR="00C36A21" w:rsidRDefault="00C36A21" w:rsidP="002A609A">
            <w:pPr>
              <w:pStyle w:val="APDTABLE1"/>
              <w:rPr>
                <w:rFonts w:asciiTheme="majorHAnsi" w:hAnsiTheme="majorHAnsi" w:cstheme="majorHAnsi"/>
              </w:rPr>
            </w:pPr>
          </w:p>
        </w:tc>
        <w:tc>
          <w:tcPr>
            <w:tcW w:w="1600" w:type="dxa"/>
          </w:tcPr>
          <w:p w14:paraId="556DB7CF" w14:textId="77777777" w:rsidR="00C36A21" w:rsidRDefault="00C36A21" w:rsidP="002A609A">
            <w:pPr>
              <w:pStyle w:val="APDTABLE1"/>
              <w:rPr>
                <w:rFonts w:asciiTheme="majorHAnsi" w:hAnsiTheme="majorHAnsi" w:cstheme="majorHAnsi"/>
              </w:rPr>
            </w:pPr>
          </w:p>
        </w:tc>
        <w:tc>
          <w:tcPr>
            <w:tcW w:w="1600" w:type="dxa"/>
          </w:tcPr>
          <w:p w14:paraId="6D315EFB" w14:textId="77777777" w:rsidR="00C36A21" w:rsidRDefault="00C36A21" w:rsidP="002A609A">
            <w:pPr>
              <w:pStyle w:val="APDTABLE1"/>
              <w:rPr>
                <w:rFonts w:asciiTheme="majorHAnsi" w:hAnsiTheme="majorHAnsi" w:cstheme="majorHAnsi"/>
              </w:rPr>
            </w:pPr>
          </w:p>
        </w:tc>
        <w:tc>
          <w:tcPr>
            <w:tcW w:w="1600" w:type="dxa"/>
          </w:tcPr>
          <w:p w14:paraId="1A15BAC6" w14:textId="77777777" w:rsidR="00C36A21" w:rsidRDefault="00C36A21" w:rsidP="002A609A">
            <w:pPr>
              <w:pStyle w:val="APDTABLE1"/>
              <w:rPr>
                <w:rFonts w:asciiTheme="majorHAnsi" w:hAnsiTheme="majorHAnsi" w:cstheme="majorHAnsi"/>
              </w:rPr>
            </w:pPr>
          </w:p>
        </w:tc>
        <w:tc>
          <w:tcPr>
            <w:tcW w:w="1600" w:type="dxa"/>
          </w:tcPr>
          <w:p w14:paraId="4EAAED82" w14:textId="77777777" w:rsidR="00C36A21" w:rsidRDefault="00C36A21" w:rsidP="002A609A">
            <w:pPr>
              <w:pStyle w:val="APDTABLE1"/>
              <w:rPr>
                <w:rFonts w:asciiTheme="majorHAnsi" w:hAnsiTheme="majorHAnsi" w:cstheme="majorHAnsi"/>
              </w:rPr>
            </w:pPr>
          </w:p>
        </w:tc>
      </w:tr>
    </w:tbl>
    <w:p w14:paraId="3935CEA4" w14:textId="046BF3E4" w:rsidR="00C36A21" w:rsidRDefault="00C36A21" w:rsidP="002A609A">
      <w:pPr>
        <w:pStyle w:val="APDTABLE1"/>
        <w:rPr>
          <w:rFonts w:asciiTheme="majorHAnsi" w:hAnsiTheme="majorHAnsi" w:cstheme="majorHAnsi"/>
        </w:rPr>
      </w:pPr>
    </w:p>
    <w:p w14:paraId="3D6CB2FE" w14:textId="77777777" w:rsidR="00BA02CB" w:rsidRPr="00DC71B0" w:rsidRDefault="00BA02CB" w:rsidP="00BC6ACF">
      <w:pPr>
        <w:pStyle w:val="HeadLevel1"/>
        <w:jc w:val="left"/>
      </w:pPr>
      <w:r w:rsidRPr="00DC71B0">
        <w:br w:type="page"/>
      </w:r>
    </w:p>
    <w:p w14:paraId="515ED89C" w14:textId="77777777" w:rsidR="00002E2D" w:rsidRPr="00DC71B0" w:rsidRDefault="00002E2D" w:rsidP="004E7FAD">
      <w:pPr>
        <w:pStyle w:val="HeadLevel1"/>
        <w:outlineLvl w:val="0"/>
      </w:pPr>
      <w:r w:rsidRPr="00DC71B0">
        <w:lastRenderedPageBreak/>
        <w:t>Process Heater/Furnace Attributes</w:t>
      </w:r>
    </w:p>
    <w:p w14:paraId="3EA8AD57" w14:textId="77777777" w:rsidR="00002E2D" w:rsidRPr="00DC71B0" w:rsidRDefault="00002E2D" w:rsidP="004E7FAD">
      <w:pPr>
        <w:pStyle w:val="HeadLevel1"/>
        <w:outlineLvl w:val="0"/>
      </w:pPr>
      <w:r w:rsidRPr="00DC71B0">
        <w:t>Form OP-UA5 (Page 6)</w:t>
      </w:r>
    </w:p>
    <w:p w14:paraId="680EC62F" w14:textId="77777777" w:rsidR="00002E2D" w:rsidRPr="00DC71B0" w:rsidRDefault="00002E2D" w:rsidP="004E7FAD">
      <w:pPr>
        <w:pStyle w:val="HeadLevel1"/>
        <w:outlineLvl w:val="0"/>
      </w:pPr>
      <w:r w:rsidRPr="00DC71B0">
        <w:t>Federal Operating Permit Program</w:t>
      </w:r>
    </w:p>
    <w:p w14:paraId="19D5E247" w14:textId="77777777" w:rsidR="00002E2D" w:rsidRPr="00DC71B0" w:rsidRDefault="00002E2D" w:rsidP="004E7FAD">
      <w:pPr>
        <w:pStyle w:val="HeadLevel1"/>
        <w:outlineLvl w:val="0"/>
      </w:pPr>
      <w:bookmarkStart w:id="40" w:name="TBL3b"/>
      <w:r w:rsidRPr="00DC71B0">
        <w:t>Table 3b</w:t>
      </w:r>
      <w:bookmarkEnd w:id="40"/>
      <w:r w:rsidRPr="00DC71B0">
        <w:t>: Title 30 Texas Administrative Code Chapter 117 (30 TAC Chapter 117)</w:t>
      </w:r>
    </w:p>
    <w:p w14:paraId="3D56722B" w14:textId="77777777" w:rsidR="00002E2D" w:rsidRPr="00DC71B0" w:rsidRDefault="00002E2D" w:rsidP="004E7FAD">
      <w:pPr>
        <w:pStyle w:val="HeadLevel1"/>
        <w:outlineLvl w:val="0"/>
      </w:pPr>
      <w:r w:rsidRPr="00DC71B0">
        <w:t xml:space="preserve">Subchapter B: Combustion Control at Major Industrial, Commercial, and Institutional Sources in </w:t>
      </w:r>
    </w:p>
    <w:p w14:paraId="3866B430" w14:textId="251F0D0C" w:rsidR="00002E2D" w:rsidRDefault="00002E2D" w:rsidP="004E7FAD">
      <w:pPr>
        <w:pStyle w:val="HeadLevel1"/>
        <w:outlineLvl w:val="0"/>
      </w:pPr>
      <w:r w:rsidRPr="00DC71B0">
        <w:t>Ozone Nonattainment Areas, Furnaces</w:t>
      </w:r>
    </w:p>
    <w:p w14:paraId="5E925564" w14:textId="77777777" w:rsidR="00D9339E" w:rsidRPr="00DC71B0" w:rsidRDefault="00D9339E" w:rsidP="004E7FAD">
      <w:pPr>
        <w:pStyle w:val="HeadLevel1"/>
        <w:outlineLvl w:val="0"/>
      </w:pPr>
      <w:r w:rsidRPr="00DC71B0">
        <w:t>Texas Commission on Environmental Quality</w:t>
      </w:r>
    </w:p>
    <w:p w14:paraId="571B63BD" w14:textId="77777777" w:rsidR="006C2FB6" w:rsidRDefault="006C2FB6" w:rsidP="000D5197">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30 Texas Administrative Code Chapter 117 (30 TAC Chapter 117) Subchapter B: Combustion Control at Major Industrial, Commercial, and Institutional Sources in &#10;Ozone Nonattainment Areas, Furnaces&#10;&#10;&#10;&#10;"/>
      </w:tblPr>
      <w:tblGrid>
        <w:gridCol w:w="4800"/>
        <w:gridCol w:w="4800"/>
        <w:gridCol w:w="4800"/>
      </w:tblGrid>
      <w:tr w:rsidR="0093034F" w:rsidRPr="00756A95" w14:paraId="5B378D78" w14:textId="77777777" w:rsidTr="00F263FF">
        <w:trPr>
          <w:cantSplit/>
          <w:tblHeader/>
        </w:trPr>
        <w:tc>
          <w:tcPr>
            <w:tcW w:w="4800" w:type="dxa"/>
            <w:shd w:val="clear" w:color="auto" w:fill="D9D9D9" w:themeFill="background1" w:themeFillShade="D9"/>
          </w:tcPr>
          <w:p w14:paraId="4F331085"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750DA677"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27B80F81"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6DAE78E4" w14:textId="77777777" w:rsidTr="00F263FF">
        <w:trPr>
          <w:cantSplit/>
          <w:tblHeader/>
        </w:trPr>
        <w:tc>
          <w:tcPr>
            <w:tcW w:w="4800" w:type="dxa"/>
          </w:tcPr>
          <w:p w14:paraId="7D3B2AFA" w14:textId="77777777" w:rsidR="0093034F" w:rsidRDefault="0093034F" w:rsidP="00F263FF">
            <w:pPr>
              <w:rPr>
                <w:rFonts w:asciiTheme="majorHAnsi" w:hAnsiTheme="majorHAnsi" w:cstheme="majorHAnsi"/>
              </w:rPr>
            </w:pPr>
          </w:p>
        </w:tc>
        <w:tc>
          <w:tcPr>
            <w:tcW w:w="4800" w:type="dxa"/>
          </w:tcPr>
          <w:p w14:paraId="61ECB8B9" w14:textId="77777777" w:rsidR="0093034F" w:rsidRDefault="0093034F" w:rsidP="00F263FF">
            <w:pPr>
              <w:rPr>
                <w:rFonts w:asciiTheme="majorHAnsi" w:hAnsiTheme="majorHAnsi" w:cstheme="majorHAnsi"/>
              </w:rPr>
            </w:pPr>
          </w:p>
        </w:tc>
        <w:tc>
          <w:tcPr>
            <w:tcW w:w="4800" w:type="dxa"/>
          </w:tcPr>
          <w:p w14:paraId="51776D71" w14:textId="77777777" w:rsidR="0093034F" w:rsidRDefault="0093034F" w:rsidP="00F263FF">
            <w:pPr>
              <w:rPr>
                <w:rFonts w:asciiTheme="majorHAnsi" w:hAnsiTheme="majorHAnsi" w:cstheme="majorHAnsi"/>
              </w:rPr>
            </w:pPr>
          </w:p>
        </w:tc>
      </w:tr>
    </w:tbl>
    <w:p w14:paraId="5FC8C903" w14:textId="3563CF92"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30 Texas Administrative Code Chapter 117 (30 TAC Chapter 117) Subchapter B: Combustion Control at Major Industrial, Commercial, and Institutional Sources in Ozone Nonattainment Areas, Furnaces&#10;"/>
      </w:tblPr>
      <w:tblGrid>
        <w:gridCol w:w="2058"/>
        <w:gridCol w:w="2057"/>
        <w:gridCol w:w="2057"/>
        <w:gridCol w:w="2057"/>
        <w:gridCol w:w="2057"/>
        <w:gridCol w:w="2057"/>
        <w:gridCol w:w="2057"/>
      </w:tblGrid>
      <w:tr w:rsidR="007A2B45" w14:paraId="37141CEC" w14:textId="77777777" w:rsidTr="007A2B45">
        <w:trPr>
          <w:cantSplit/>
          <w:tblHeader/>
        </w:trPr>
        <w:tc>
          <w:tcPr>
            <w:tcW w:w="2058" w:type="dxa"/>
            <w:shd w:val="clear" w:color="auto" w:fill="D9D9D9" w:themeFill="background1" w:themeFillShade="D9"/>
            <w:vAlign w:val="center"/>
          </w:tcPr>
          <w:p w14:paraId="48D7D32C" w14:textId="53C7ECFE" w:rsidR="007A2B45" w:rsidRPr="007A2B45" w:rsidRDefault="007A2B45" w:rsidP="007A2B45">
            <w:pPr>
              <w:pStyle w:val="APDTABLE1"/>
              <w:jc w:val="center"/>
              <w:rPr>
                <w:rFonts w:asciiTheme="majorHAnsi" w:hAnsiTheme="majorHAnsi" w:cstheme="majorHAnsi"/>
                <w:sz w:val="20"/>
                <w:szCs w:val="20"/>
              </w:rPr>
            </w:pPr>
            <w:r w:rsidRPr="007A2B45">
              <w:rPr>
                <w:sz w:val="20"/>
                <w:szCs w:val="20"/>
              </w:rPr>
              <w:t>Unit ID No.</w:t>
            </w:r>
          </w:p>
        </w:tc>
        <w:tc>
          <w:tcPr>
            <w:tcW w:w="2057" w:type="dxa"/>
            <w:shd w:val="clear" w:color="auto" w:fill="D9D9D9" w:themeFill="background1" w:themeFillShade="D9"/>
            <w:vAlign w:val="center"/>
          </w:tcPr>
          <w:p w14:paraId="4732FFDD" w14:textId="37DBC176" w:rsidR="007A2B45" w:rsidRPr="007A2B45" w:rsidRDefault="007A2B45" w:rsidP="007A2B45">
            <w:pPr>
              <w:pStyle w:val="APDTABLE1"/>
              <w:jc w:val="center"/>
              <w:rPr>
                <w:rFonts w:asciiTheme="majorHAnsi" w:hAnsiTheme="majorHAnsi" w:cstheme="majorHAnsi"/>
                <w:sz w:val="20"/>
                <w:szCs w:val="20"/>
              </w:rPr>
            </w:pPr>
            <w:r w:rsidRPr="007A2B45">
              <w:rPr>
                <w:sz w:val="20"/>
                <w:szCs w:val="20"/>
              </w:rPr>
              <w:t>SOP/GOP Index No.</w:t>
            </w:r>
          </w:p>
        </w:tc>
        <w:tc>
          <w:tcPr>
            <w:tcW w:w="2057" w:type="dxa"/>
            <w:shd w:val="clear" w:color="auto" w:fill="D9D9D9" w:themeFill="background1" w:themeFillShade="D9"/>
            <w:vAlign w:val="center"/>
          </w:tcPr>
          <w:p w14:paraId="0A8E8972" w14:textId="0499A902" w:rsidR="007A2B45" w:rsidRPr="007A2B45" w:rsidRDefault="007A2B45" w:rsidP="007A2B45">
            <w:pPr>
              <w:pStyle w:val="APDTABLE1"/>
              <w:jc w:val="center"/>
              <w:rPr>
                <w:rFonts w:asciiTheme="majorHAnsi" w:hAnsiTheme="majorHAnsi" w:cstheme="majorHAnsi"/>
                <w:sz w:val="20"/>
                <w:szCs w:val="20"/>
              </w:rPr>
            </w:pPr>
            <w:r w:rsidRPr="007A2B45">
              <w:rPr>
                <w:sz w:val="20"/>
                <w:szCs w:val="20"/>
              </w:rPr>
              <w:t>Fuel Flow Monitoring</w:t>
            </w:r>
          </w:p>
        </w:tc>
        <w:tc>
          <w:tcPr>
            <w:tcW w:w="2057" w:type="dxa"/>
            <w:shd w:val="clear" w:color="auto" w:fill="D9D9D9" w:themeFill="background1" w:themeFillShade="D9"/>
            <w:vAlign w:val="center"/>
          </w:tcPr>
          <w:p w14:paraId="193B8AD2" w14:textId="15F55CBD" w:rsidR="007A2B45" w:rsidRPr="007A2B45" w:rsidRDefault="007A2B45" w:rsidP="007A2B45">
            <w:pPr>
              <w:pStyle w:val="APDTABLE1"/>
              <w:jc w:val="center"/>
              <w:rPr>
                <w:rFonts w:asciiTheme="majorHAnsi" w:hAnsiTheme="majorHAnsi" w:cstheme="majorHAnsi"/>
                <w:sz w:val="20"/>
                <w:szCs w:val="20"/>
              </w:rPr>
            </w:pPr>
            <w:r w:rsidRPr="007A2B45">
              <w:rPr>
                <w:sz w:val="20"/>
                <w:szCs w:val="20"/>
              </w:rPr>
              <w:t>CO Emission Limitation</w:t>
            </w:r>
          </w:p>
        </w:tc>
        <w:tc>
          <w:tcPr>
            <w:tcW w:w="2057" w:type="dxa"/>
            <w:shd w:val="clear" w:color="auto" w:fill="D9D9D9" w:themeFill="background1" w:themeFillShade="D9"/>
            <w:vAlign w:val="center"/>
          </w:tcPr>
          <w:p w14:paraId="1C495ACE" w14:textId="00F37C2E" w:rsidR="007A2B45" w:rsidRPr="007A2B45" w:rsidRDefault="007A2B45" w:rsidP="007A2B45">
            <w:pPr>
              <w:pStyle w:val="APDTABLE1"/>
              <w:jc w:val="center"/>
              <w:rPr>
                <w:rFonts w:asciiTheme="majorHAnsi" w:hAnsiTheme="majorHAnsi" w:cstheme="majorHAnsi"/>
                <w:sz w:val="20"/>
                <w:szCs w:val="20"/>
              </w:rPr>
            </w:pPr>
            <w:r w:rsidRPr="007A2B45">
              <w:rPr>
                <w:sz w:val="20"/>
                <w:szCs w:val="20"/>
              </w:rPr>
              <w:t>CO Monitoring System</w:t>
            </w:r>
          </w:p>
        </w:tc>
        <w:tc>
          <w:tcPr>
            <w:tcW w:w="2057" w:type="dxa"/>
            <w:shd w:val="clear" w:color="auto" w:fill="D9D9D9" w:themeFill="background1" w:themeFillShade="D9"/>
            <w:vAlign w:val="center"/>
          </w:tcPr>
          <w:p w14:paraId="452D535F" w14:textId="17EFA90F" w:rsidR="007A2B45" w:rsidRPr="007A2B45" w:rsidRDefault="007A2B45" w:rsidP="007A2B45">
            <w:pPr>
              <w:pStyle w:val="APDTABLE1"/>
              <w:jc w:val="center"/>
              <w:rPr>
                <w:rFonts w:asciiTheme="majorHAnsi" w:hAnsiTheme="majorHAnsi" w:cstheme="majorHAnsi"/>
                <w:sz w:val="20"/>
                <w:szCs w:val="20"/>
              </w:rPr>
            </w:pPr>
            <w:r w:rsidRPr="007A2B45">
              <w:rPr>
                <w:sz w:val="20"/>
                <w:szCs w:val="20"/>
              </w:rPr>
              <w:t>NH3 Emission Limitation</w:t>
            </w:r>
          </w:p>
        </w:tc>
        <w:tc>
          <w:tcPr>
            <w:tcW w:w="2057" w:type="dxa"/>
            <w:shd w:val="clear" w:color="auto" w:fill="D9D9D9" w:themeFill="background1" w:themeFillShade="D9"/>
            <w:vAlign w:val="center"/>
          </w:tcPr>
          <w:p w14:paraId="76E448BD" w14:textId="60356EB4" w:rsidR="007A2B45" w:rsidRPr="007A2B45" w:rsidRDefault="007A2B45" w:rsidP="007A2B45">
            <w:pPr>
              <w:pStyle w:val="APDTABLE1"/>
              <w:jc w:val="center"/>
              <w:rPr>
                <w:rFonts w:asciiTheme="majorHAnsi" w:hAnsiTheme="majorHAnsi" w:cstheme="majorHAnsi"/>
                <w:sz w:val="20"/>
                <w:szCs w:val="20"/>
              </w:rPr>
            </w:pPr>
            <w:r w:rsidRPr="007A2B45">
              <w:rPr>
                <w:sz w:val="20"/>
                <w:szCs w:val="20"/>
              </w:rPr>
              <w:t>NH3 Monitoring</w:t>
            </w:r>
          </w:p>
        </w:tc>
      </w:tr>
      <w:tr w:rsidR="007A2B45" w14:paraId="66318768" w14:textId="77777777" w:rsidTr="007A2B45">
        <w:trPr>
          <w:cantSplit/>
          <w:trHeight w:val="331"/>
          <w:tblHeader/>
        </w:trPr>
        <w:tc>
          <w:tcPr>
            <w:tcW w:w="2058" w:type="dxa"/>
          </w:tcPr>
          <w:p w14:paraId="19A64F0C" w14:textId="77777777" w:rsidR="007A2B45" w:rsidRDefault="007A2B45" w:rsidP="00F263FF">
            <w:pPr>
              <w:pStyle w:val="APDTABLE1"/>
              <w:rPr>
                <w:rFonts w:asciiTheme="majorHAnsi" w:hAnsiTheme="majorHAnsi" w:cstheme="majorHAnsi"/>
              </w:rPr>
            </w:pPr>
          </w:p>
        </w:tc>
        <w:tc>
          <w:tcPr>
            <w:tcW w:w="2057" w:type="dxa"/>
          </w:tcPr>
          <w:p w14:paraId="1C333383" w14:textId="77777777" w:rsidR="007A2B45" w:rsidRDefault="007A2B45" w:rsidP="00F263FF">
            <w:pPr>
              <w:pStyle w:val="APDTABLE1"/>
              <w:rPr>
                <w:rFonts w:asciiTheme="majorHAnsi" w:hAnsiTheme="majorHAnsi" w:cstheme="majorHAnsi"/>
              </w:rPr>
            </w:pPr>
          </w:p>
        </w:tc>
        <w:tc>
          <w:tcPr>
            <w:tcW w:w="2057" w:type="dxa"/>
          </w:tcPr>
          <w:p w14:paraId="734BEC3F" w14:textId="77777777" w:rsidR="007A2B45" w:rsidRDefault="007A2B45" w:rsidP="00F263FF">
            <w:pPr>
              <w:pStyle w:val="APDTABLE1"/>
              <w:rPr>
                <w:rFonts w:asciiTheme="majorHAnsi" w:hAnsiTheme="majorHAnsi" w:cstheme="majorHAnsi"/>
              </w:rPr>
            </w:pPr>
          </w:p>
        </w:tc>
        <w:tc>
          <w:tcPr>
            <w:tcW w:w="2057" w:type="dxa"/>
          </w:tcPr>
          <w:p w14:paraId="42B32DEA" w14:textId="77777777" w:rsidR="007A2B45" w:rsidRDefault="007A2B45" w:rsidP="00F263FF">
            <w:pPr>
              <w:pStyle w:val="APDTABLE1"/>
              <w:rPr>
                <w:rFonts w:asciiTheme="majorHAnsi" w:hAnsiTheme="majorHAnsi" w:cstheme="majorHAnsi"/>
              </w:rPr>
            </w:pPr>
          </w:p>
        </w:tc>
        <w:tc>
          <w:tcPr>
            <w:tcW w:w="2057" w:type="dxa"/>
          </w:tcPr>
          <w:p w14:paraId="6EF53BC1" w14:textId="77777777" w:rsidR="007A2B45" w:rsidRDefault="007A2B45" w:rsidP="00F263FF">
            <w:pPr>
              <w:pStyle w:val="APDTABLE1"/>
              <w:rPr>
                <w:rFonts w:asciiTheme="majorHAnsi" w:hAnsiTheme="majorHAnsi" w:cstheme="majorHAnsi"/>
              </w:rPr>
            </w:pPr>
          </w:p>
        </w:tc>
        <w:tc>
          <w:tcPr>
            <w:tcW w:w="2057" w:type="dxa"/>
          </w:tcPr>
          <w:p w14:paraId="51023B78" w14:textId="77777777" w:rsidR="007A2B45" w:rsidRDefault="007A2B45" w:rsidP="00F263FF">
            <w:pPr>
              <w:pStyle w:val="APDTABLE1"/>
              <w:rPr>
                <w:rFonts w:asciiTheme="majorHAnsi" w:hAnsiTheme="majorHAnsi" w:cstheme="majorHAnsi"/>
              </w:rPr>
            </w:pPr>
          </w:p>
        </w:tc>
        <w:tc>
          <w:tcPr>
            <w:tcW w:w="2057" w:type="dxa"/>
          </w:tcPr>
          <w:p w14:paraId="5DB05B36" w14:textId="77777777" w:rsidR="007A2B45" w:rsidRDefault="007A2B45" w:rsidP="00F263FF">
            <w:pPr>
              <w:pStyle w:val="APDTABLE1"/>
              <w:rPr>
                <w:rFonts w:asciiTheme="majorHAnsi" w:hAnsiTheme="majorHAnsi" w:cstheme="majorHAnsi"/>
              </w:rPr>
            </w:pPr>
          </w:p>
        </w:tc>
      </w:tr>
      <w:tr w:rsidR="007A2B45" w14:paraId="6836BD2A" w14:textId="77777777" w:rsidTr="007A2B45">
        <w:trPr>
          <w:cantSplit/>
          <w:trHeight w:val="331"/>
          <w:tblHeader/>
        </w:trPr>
        <w:tc>
          <w:tcPr>
            <w:tcW w:w="2058" w:type="dxa"/>
          </w:tcPr>
          <w:p w14:paraId="1524967F" w14:textId="77777777" w:rsidR="007A2B45" w:rsidRDefault="007A2B45" w:rsidP="00F263FF">
            <w:pPr>
              <w:pStyle w:val="APDTABLE1"/>
              <w:rPr>
                <w:rFonts w:asciiTheme="majorHAnsi" w:hAnsiTheme="majorHAnsi" w:cstheme="majorHAnsi"/>
              </w:rPr>
            </w:pPr>
          </w:p>
        </w:tc>
        <w:tc>
          <w:tcPr>
            <w:tcW w:w="2057" w:type="dxa"/>
          </w:tcPr>
          <w:p w14:paraId="37AE4753" w14:textId="77777777" w:rsidR="007A2B45" w:rsidRDefault="007A2B45" w:rsidP="00F263FF">
            <w:pPr>
              <w:pStyle w:val="APDTABLE1"/>
              <w:rPr>
                <w:rFonts w:asciiTheme="majorHAnsi" w:hAnsiTheme="majorHAnsi" w:cstheme="majorHAnsi"/>
              </w:rPr>
            </w:pPr>
          </w:p>
        </w:tc>
        <w:tc>
          <w:tcPr>
            <w:tcW w:w="2057" w:type="dxa"/>
          </w:tcPr>
          <w:p w14:paraId="33F3160B" w14:textId="77777777" w:rsidR="007A2B45" w:rsidRDefault="007A2B45" w:rsidP="00F263FF">
            <w:pPr>
              <w:pStyle w:val="APDTABLE1"/>
              <w:rPr>
                <w:rFonts w:asciiTheme="majorHAnsi" w:hAnsiTheme="majorHAnsi" w:cstheme="majorHAnsi"/>
              </w:rPr>
            </w:pPr>
          </w:p>
        </w:tc>
        <w:tc>
          <w:tcPr>
            <w:tcW w:w="2057" w:type="dxa"/>
          </w:tcPr>
          <w:p w14:paraId="0FA16423" w14:textId="77777777" w:rsidR="007A2B45" w:rsidRDefault="007A2B45" w:rsidP="00F263FF">
            <w:pPr>
              <w:pStyle w:val="APDTABLE1"/>
              <w:rPr>
                <w:rFonts w:asciiTheme="majorHAnsi" w:hAnsiTheme="majorHAnsi" w:cstheme="majorHAnsi"/>
              </w:rPr>
            </w:pPr>
          </w:p>
        </w:tc>
        <w:tc>
          <w:tcPr>
            <w:tcW w:w="2057" w:type="dxa"/>
          </w:tcPr>
          <w:p w14:paraId="3D8B58C6" w14:textId="77777777" w:rsidR="007A2B45" w:rsidRDefault="007A2B45" w:rsidP="00F263FF">
            <w:pPr>
              <w:pStyle w:val="APDTABLE1"/>
              <w:rPr>
                <w:rFonts w:asciiTheme="majorHAnsi" w:hAnsiTheme="majorHAnsi" w:cstheme="majorHAnsi"/>
              </w:rPr>
            </w:pPr>
          </w:p>
        </w:tc>
        <w:tc>
          <w:tcPr>
            <w:tcW w:w="2057" w:type="dxa"/>
          </w:tcPr>
          <w:p w14:paraId="25D97767" w14:textId="77777777" w:rsidR="007A2B45" w:rsidRDefault="007A2B45" w:rsidP="00F263FF">
            <w:pPr>
              <w:pStyle w:val="APDTABLE1"/>
              <w:rPr>
                <w:rFonts w:asciiTheme="majorHAnsi" w:hAnsiTheme="majorHAnsi" w:cstheme="majorHAnsi"/>
              </w:rPr>
            </w:pPr>
          </w:p>
        </w:tc>
        <w:tc>
          <w:tcPr>
            <w:tcW w:w="2057" w:type="dxa"/>
          </w:tcPr>
          <w:p w14:paraId="22C66B3C" w14:textId="77777777" w:rsidR="007A2B45" w:rsidRDefault="007A2B45" w:rsidP="00F263FF">
            <w:pPr>
              <w:pStyle w:val="APDTABLE1"/>
              <w:rPr>
                <w:rFonts w:asciiTheme="majorHAnsi" w:hAnsiTheme="majorHAnsi" w:cstheme="majorHAnsi"/>
              </w:rPr>
            </w:pPr>
          </w:p>
        </w:tc>
      </w:tr>
      <w:tr w:rsidR="007A2B45" w14:paraId="2EF59E45" w14:textId="77777777" w:rsidTr="007A2B45">
        <w:trPr>
          <w:cantSplit/>
          <w:trHeight w:val="331"/>
          <w:tblHeader/>
        </w:trPr>
        <w:tc>
          <w:tcPr>
            <w:tcW w:w="2058" w:type="dxa"/>
          </w:tcPr>
          <w:p w14:paraId="1703D957" w14:textId="77777777" w:rsidR="007A2B45" w:rsidRDefault="007A2B45" w:rsidP="00F263FF">
            <w:pPr>
              <w:pStyle w:val="APDTABLE1"/>
              <w:rPr>
                <w:rFonts w:asciiTheme="majorHAnsi" w:hAnsiTheme="majorHAnsi" w:cstheme="majorHAnsi"/>
              </w:rPr>
            </w:pPr>
          </w:p>
        </w:tc>
        <w:tc>
          <w:tcPr>
            <w:tcW w:w="2057" w:type="dxa"/>
          </w:tcPr>
          <w:p w14:paraId="09B5935C" w14:textId="77777777" w:rsidR="007A2B45" w:rsidRDefault="007A2B45" w:rsidP="00F263FF">
            <w:pPr>
              <w:pStyle w:val="APDTABLE1"/>
              <w:rPr>
                <w:rFonts w:asciiTheme="majorHAnsi" w:hAnsiTheme="majorHAnsi" w:cstheme="majorHAnsi"/>
              </w:rPr>
            </w:pPr>
          </w:p>
        </w:tc>
        <w:tc>
          <w:tcPr>
            <w:tcW w:w="2057" w:type="dxa"/>
          </w:tcPr>
          <w:p w14:paraId="15E2DF1B" w14:textId="77777777" w:rsidR="007A2B45" w:rsidRDefault="007A2B45" w:rsidP="00F263FF">
            <w:pPr>
              <w:pStyle w:val="APDTABLE1"/>
              <w:rPr>
                <w:rFonts w:asciiTheme="majorHAnsi" w:hAnsiTheme="majorHAnsi" w:cstheme="majorHAnsi"/>
              </w:rPr>
            </w:pPr>
          </w:p>
        </w:tc>
        <w:tc>
          <w:tcPr>
            <w:tcW w:w="2057" w:type="dxa"/>
          </w:tcPr>
          <w:p w14:paraId="3B95C881" w14:textId="77777777" w:rsidR="007A2B45" w:rsidRDefault="007A2B45" w:rsidP="00F263FF">
            <w:pPr>
              <w:pStyle w:val="APDTABLE1"/>
              <w:rPr>
                <w:rFonts w:asciiTheme="majorHAnsi" w:hAnsiTheme="majorHAnsi" w:cstheme="majorHAnsi"/>
              </w:rPr>
            </w:pPr>
          </w:p>
        </w:tc>
        <w:tc>
          <w:tcPr>
            <w:tcW w:w="2057" w:type="dxa"/>
          </w:tcPr>
          <w:p w14:paraId="7C39D174" w14:textId="77777777" w:rsidR="007A2B45" w:rsidRDefault="007A2B45" w:rsidP="00F263FF">
            <w:pPr>
              <w:pStyle w:val="APDTABLE1"/>
              <w:rPr>
                <w:rFonts w:asciiTheme="majorHAnsi" w:hAnsiTheme="majorHAnsi" w:cstheme="majorHAnsi"/>
              </w:rPr>
            </w:pPr>
          </w:p>
        </w:tc>
        <w:tc>
          <w:tcPr>
            <w:tcW w:w="2057" w:type="dxa"/>
          </w:tcPr>
          <w:p w14:paraId="5125521D" w14:textId="77777777" w:rsidR="007A2B45" w:rsidRDefault="007A2B45" w:rsidP="00F263FF">
            <w:pPr>
              <w:pStyle w:val="APDTABLE1"/>
              <w:rPr>
                <w:rFonts w:asciiTheme="majorHAnsi" w:hAnsiTheme="majorHAnsi" w:cstheme="majorHAnsi"/>
              </w:rPr>
            </w:pPr>
          </w:p>
        </w:tc>
        <w:tc>
          <w:tcPr>
            <w:tcW w:w="2057" w:type="dxa"/>
          </w:tcPr>
          <w:p w14:paraId="1FCC0FDC" w14:textId="77777777" w:rsidR="007A2B45" w:rsidRDefault="007A2B45" w:rsidP="00F263FF">
            <w:pPr>
              <w:pStyle w:val="APDTABLE1"/>
              <w:rPr>
                <w:rFonts w:asciiTheme="majorHAnsi" w:hAnsiTheme="majorHAnsi" w:cstheme="majorHAnsi"/>
              </w:rPr>
            </w:pPr>
          </w:p>
        </w:tc>
      </w:tr>
      <w:tr w:rsidR="007A2B45" w14:paraId="067203A3" w14:textId="77777777" w:rsidTr="007A2B45">
        <w:trPr>
          <w:cantSplit/>
          <w:trHeight w:val="331"/>
          <w:tblHeader/>
        </w:trPr>
        <w:tc>
          <w:tcPr>
            <w:tcW w:w="2058" w:type="dxa"/>
          </w:tcPr>
          <w:p w14:paraId="1FC594E2" w14:textId="77777777" w:rsidR="007A2B45" w:rsidRDefault="007A2B45" w:rsidP="00F263FF">
            <w:pPr>
              <w:pStyle w:val="APDTABLE1"/>
              <w:rPr>
                <w:rFonts w:asciiTheme="majorHAnsi" w:hAnsiTheme="majorHAnsi" w:cstheme="majorHAnsi"/>
              </w:rPr>
            </w:pPr>
          </w:p>
        </w:tc>
        <w:tc>
          <w:tcPr>
            <w:tcW w:w="2057" w:type="dxa"/>
          </w:tcPr>
          <w:p w14:paraId="79ED7771" w14:textId="77777777" w:rsidR="007A2B45" w:rsidRDefault="007A2B45" w:rsidP="00F263FF">
            <w:pPr>
              <w:pStyle w:val="APDTABLE1"/>
              <w:rPr>
                <w:rFonts w:asciiTheme="majorHAnsi" w:hAnsiTheme="majorHAnsi" w:cstheme="majorHAnsi"/>
              </w:rPr>
            </w:pPr>
          </w:p>
        </w:tc>
        <w:tc>
          <w:tcPr>
            <w:tcW w:w="2057" w:type="dxa"/>
          </w:tcPr>
          <w:p w14:paraId="260C25FC" w14:textId="77777777" w:rsidR="007A2B45" w:rsidRDefault="007A2B45" w:rsidP="00F263FF">
            <w:pPr>
              <w:pStyle w:val="APDTABLE1"/>
              <w:rPr>
                <w:rFonts w:asciiTheme="majorHAnsi" w:hAnsiTheme="majorHAnsi" w:cstheme="majorHAnsi"/>
              </w:rPr>
            </w:pPr>
          </w:p>
        </w:tc>
        <w:tc>
          <w:tcPr>
            <w:tcW w:w="2057" w:type="dxa"/>
          </w:tcPr>
          <w:p w14:paraId="3B19F8CF" w14:textId="77777777" w:rsidR="007A2B45" w:rsidRDefault="007A2B45" w:rsidP="00F263FF">
            <w:pPr>
              <w:pStyle w:val="APDTABLE1"/>
              <w:rPr>
                <w:rFonts w:asciiTheme="majorHAnsi" w:hAnsiTheme="majorHAnsi" w:cstheme="majorHAnsi"/>
              </w:rPr>
            </w:pPr>
          </w:p>
        </w:tc>
        <w:tc>
          <w:tcPr>
            <w:tcW w:w="2057" w:type="dxa"/>
          </w:tcPr>
          <w:p w14:paraId="6E6AE2E1" w14:textId="77777777" w:rsidR="007A2B45" w:rsidRDefault="007A2B45" w:rsidP="00F263FF">
            <w:pPr>
              <w:pStyle w:val="APDTABLE1"/>
              <w:rPr>
                <w:rFonts w:asciiTheme="majorHAnsi" w:hAnsiTheme="majorHAnsi" w:cstheme="majorHAnsi"/>
              </w:rPr>
            </w:pPr>
          </w:p>
        </w:tc>
        <w:tc>
          <w:tcPr>
            <w:tcW w:w="2057" w:type="dxa"/>
          </w:tcPr>
          <w:p w14:paraId="158ECF19" w14:textId="77777777" w:rsidR="007A2B45" w:rsidRDefault="007A2B45" w:rsidP="00F263FF">
            <w:pPr>
              <w:pStyle w:val="APDTABLE1"/>
              <w:rPr>
                <w:rFonts w:asciiTheme="majorHAnsi" w:hAnsiTheme="majorHAnsi" w:cstheme="majorHAnsi"/>
              </w:rPr>
            </w:pPr>
          </w:p>
        </w:tc>
        <w:tc>
          <w:tcPr>
            <w:tcW w:w="2057" w:type="dxa"/>
          </w:tcPr>
          <w:p w14:paraId="22ABA137" w14:textId="77777777" w:rsidR="007A2B45" w:rsidRDefault="007A2B45" w:rsidP="00F263FF">
            <w:pPr>
              <w:pStyle w:val="APDTABLE1"/>
              <w:rPr>
                <w:rFonts w:asciiTheme="majorHAnsi" w:hAnsiTheme="majorHAnsi" w:cstheme="majorHAnsi"/>
              </w:rPr>
            </w:pPr>
          </w:p>
        </w:tc>
      </w:tr>
      <w:tr w:rsidR="007A2B45" w14:paraId="5BD0CBCC" w14:textId="77777777" w:rsidTr="007A2B45">
        <w:trPr>
          <w:cantSplit/>
          <w:trHeight w:val="331"/>
          <w:tblHeader/>
        </w:trPr>
        <w:tc>
          <w:tcPr>
            <w:tcW w:w="2058" w:type="dxa"/>
          </w:tcPr>
          <w:p w14:paraId="5F02360A" w14:textId="77777777" w:rsidR="007A2B45" w:rsidRDefault="007A2B45" w:rsidP="00F263FF">
            <w:pPr>
              <w:pStyle w:val="APDTABLE1"/>
              <w:rPr>
                <w:rFonts w:asciiTheme="majorHAnsi" w:hAnsiTheme="majorHAnsi" w:cstheme="majorHAnsi"/>
              </w:rPr>
            </w:pPr>
          </w:p>
        </w:tc>
        <w:tc>
          <w:tcPr>
            <w:tcW w:w="2057" w:type="dxa"/>
          </w:tcPr>
          <w:p w14:paraId="72E015D1" w14:textId="77777777" w:rsidR="007A2B45" w:rsidRDefault="007A2B45" w:rsidP="00F263FF">
            <w:pPr>
              <w:pStyle w:val="APDTABLE1"/>
              <w:rPr>
                <w:rFonts w:asciiTheme="majorHAnsi" w:hAnsiTheme="majorHAnsi" w:cstheme="majorHAnsi"/>
              </w:rPr>
            </w:pPr>
          </w:p>
        </w:tc>
        <w:tc>
          <w:tcPr>
            <w:tcW w:w="2057" w:type="dxa"/>
          </w:tcPr>
          <w:p w14:paraId="19B1DA41" w14:textId="77777777" w:rsidR="007A2B45" w:rsidRDefault="007A2B45" w:rsidP="00F263FF">
            <w:pPr>
              <w:pStyle w:val="APDTABLE1"/>
              <w:rPr>
                <w:rFonts w:asciiTheme="majorHAnsi" w:hAnsiTheme="majorHAnsi" w:cstheme="majorHAnsi"/>
              </w:rPr>
            </w:pPr>
          </w:p>
        </w:tc>
        <w:tc>
          <w:tcPr>
            <w:tcW w:w="2057" w:type="dxa"/>
          </w:tcPr>
          <w:p w14:paraId="570EB5AC" w14:textId="77777777" w:rsidR="007A2B45" w:rsidRDefault="007A2B45" w:rsidP="00F263FF">
            <w:pPr>
              <w:pStyle w:val="APDTABLE1"/>
              <w:rPr>
                <w:rFonts w:asciiTheme="majorHAnsi" w:hAnsiTheme="majorHAnsi" w:cstheme="majorHAnsi"/>
              </w:rPr>
            </w:pPr>
          </w:p>
        </w:tc>
        <w:tc>
          <w:tcPr>
            <w:tcW w:w="2057" w:type="dxa"/>
          </w:tcPr>
          <w:p w14:paraId="6A5C5AF4" w14:textId="77777777" w:rsidR="007A2B45" w:rsidRDefault="007A2B45" w:rsidP="00F263FF">
            <w:pPr>
              <w:pStyle w:val="APDTABLE1"/>
              <w:rPr>
                <w:rFonts w:asciiTheme="majorHAnsi" w:hAnsiTheme="majorHAnsi" w:cstheme="majorHAnsi"/>
              </w:rPr>
            </w:pPr>
          </w:p>
        </w:tc>
        <w:tc>
          <w:tcPr>
            <w:tcW w:w="2057" w:type="dxa"/>
          </w:tcPr>
          <w:p w14:paraId="741A29D0" w14:textId="77777777" w:rsidR="007A2B45" w:rsidRDefault="007A2B45" w:rsidP="00F263FF">
            <w:pPr>
              <w:pStyle w:val="APDTABLE1"/>
              <w:rPr>
                <w:rFonts w:asciiTheme="majorHAnsi" w:hAnsiTheme="majorHAnsi" w:cstheme="majorHAnsi"/>
              </w:rPr>
            </w:pPr>
          </w:p>
        </w:tc>
        <w:tc>
          <w:tcPr>
            <w:tcW w:w="2057" w:type="dxa"/>
          </w:tcPr>
          <w:p w14:paraId="2AC31556" w14:textId="77777777" w:rsidR="007A2B45" w:rsidRDefault="007A2B45" w:rsidP="00F263FF">
            <w:pPr>
              <w:pStyle w:val="APDTABLE1"/>
              <w:rPr>
                <w:rFonts w:asciiTheme="majorHAnsi" w:hAnsiTheme="majorHAnsi" w:cstheme="majorHAnsi"/>
              </w:rPr>
            </w:pPr>
          </w:p>
        </w:tc>
      </w:tr>
      <w:tr w:rsidR="007A2B45" w14:paraId="7D1D9612" w14:textId="77777777" w:rsidTr="007A2B45">
        <w:trPr>
          <w:cantSplit/>
          <w:trHeight w:val="331"/>
          <w:tblHeader/>
        </w:trPr>
        <w:tc>
          <w:tcPr>
            <w:tcW w:w="2058" w:type="dxa"/>
          </w:tcPr>
          <w:p w14:paraId="74272C38" w14:textId="77777777" w:rsidR="007A2B45" w:rsidRDefault="007A2B45" w:rsidP="00F263FF">
            <w:pPr>
              <w:pStyle w:val="APDTABLE1"/>
              <w:rPr>
                <w:rFonts w:asciiTheme="majorHAnsi" w:hAnsiTheme="majorHAnsi" w:cstheme="majorHAnsi"/>
              </w:rPr>
            </w:pPr>
          </w:p>
        </w:tc>
        <w:tc>
          <w:tcPr>
            <w:tcW w:w="2057" w:type="dxa"/>
          </w:tcPr>
          <w:p w14:paraId="1DD85BC1" w14:textId="77777777" w:rsidR="007A2B45" w:rsidRDefault="007A2B45" w:rsidP="00F263FF">
            <w:pPr>
              <w:pStyle w:val="APDTABLE1"/>
              <w:rPr>
                <w:rFonts w:asciiTheme="majorHAnsi" w:hAnsiTheme="majorHAnsi" w:cstheme="majorHAnsi"/>
              </w:rPr>
            </w:pPr>
          </w:p>
        </w:tc>
        <w:tc>
          <w:tcPr>
            <w:tcW w:w="2057" w:type="dxa"/>
          </w:tcPr>
          <w:p w14:paraId="1044B4E3" w14:textId="77777777" w:rsidR="007A2B45" w:rsidRDefault="007A2B45" w:rsidP="00F263FF">
            <w:pPr>
              <w:pStyle w:val="APDTABLE1"/>
              <w:rPr>
                <w:rFonts w:asciiTheme="majorHAnsi" w:hAnsiTheme="majorHAnsi" w:cstheme="majorHAnsi"/>
              </w:rPr>
            </w:pPr>
          </w:p>
        </w:tc>
        <w:tc>
          <w:tcPr>
            <w:tcW w:w="2057" w:type="dxa"/>
          </w:tcPr>
          <w:p w14:paraId="36DC1DAA" w14:textId="77777777" w:rsidR="007A2B45" w:rsidRDefault="007A2B45" w:rsidP="00F263FF">
            <w:pPr>
              <w:pStyle w:val="APDTABLE1"/>
              <w:rPr>
                <w:rFonts w:asciiTheme="majorHAnsi" w:hAnsiTheme="majorHAnsi" w:cstheme="majorHAnsi"/>
              </w:rPr>
            </w:pPr>
          </w:p>
        </w:tc>
        <w:tc>
          <w:tcPr>
            <w:tcW w:w="2057" w:type="dxa"/>
          </w:tcPr>
          <w:p w14:paraId="356ADB40" w14:textId="77777777" w:rsidR="007A2B45" w:rsidRDefault="007A2B45" w:rsidP="00F263FF">
            <w:pPr>
              <w:pStyle w:val="APDTABLE1"/>
              <w:rPr>
                <w:rFonts w:asciiTheme="majorHAnsi" w:hAnsiTheme="majorHAnsi" w:cstheme="majorHAnsi"/>
              </w:rPr>
            </w:pPr>
          </w:p>
        </w:tc>
        <w:tc>
          <w:tcPr>
            <w:tcW w:w="2057" w:type="dxa"/>
          </w:tcPr>
          <w:p w14:paraId="5F69ED95" w14:textId="77777777" w:rsidR="007A2B45" w:rsidRDefault="007A2B45" w:rsidP="00F263FF">
            <w:pPr>
              <w:pStyle w:val="APDTABLE1"/>
              <w:rPr>
                <w:rFonts w:asciiTheme="majorHAnsi" w:hAnsiTheme="majorHAnsi" w:cstheme="majorHAnsi"/>
              </w:rPr>
            </w:pPr>
          </w:p>
        </w:tc>
        <w:tc>
          <w:tcPr>
            <w:tcW w:w="2057" w:type="dxa"/>
          </w:tcPr>
          <w:p w14:paraId="7DCC43F8" w14:textId="77777777" w:rsidR="007A2B45" w:rsidRDefault="007A2B45" w:rsidP="00F263FF">
            <w:pPr>
              <w:pStyle w:val="APDTABLE1"/>
              <w:rPr>
                <w:rFonts w:asciiTheme="majorHAnsi" w:hAnsiTheme="majorHAnsi" w:cstheme="majorHAnsi"/>
              </w:rPr>
            </w:pPr>
          </w:p>
        </w:tc>
      </w:tr>
      <w:tr w:rsidR="007A2B45" w14:paraId="430144E1" w14:textId="77777777" w:rsidTr="007A2B45">
        <w:trPr>
          <w:cantSplit/>
          <w:trHeight w:val="331"/>
          <w:tblHeader/>
        </w:trPr>
        <w:tc>
          <w:tcPr>
            <w:tcW w:w="2058" w:type="dxa"/>
          </w:tcPr>
          <w:p w14:paraId="73133456" w14:textId="77777777" w:rsidR="007A2B45" w:rsidRDefault="007A2B45" w:rsidP="00F263FF">
            <w:pPr>
              <w:pStyle w:val="APDTABLE1"/>
              <w:rPr>
                <w:rFonts w:asciiTheme="majorHAnsi" w:hAnsiTheme="majorHAnsi" w:cstheme="majorHAnsi"/>
              </w:rPr>
            </w:pPr>
          </w:p>
        </w:tc>
        <w:tc>
          <w:tcPr>
            <w:tcW w:w="2057" w:type="dxa"/>
          </w:tcPr>
          <w:p w14:paraId="42CBB490" w14:textId="77777777" w:rsidR="007A2B45" w:rsidRDefault="007A2B45" w:rsidP="00F263FF">
            <w:pPr>
              <w:pStyle w:val="APDTABLE1"/>
              <w:rPr>
                <w:rFonts w:asciiTheme="majorHAnsi" w:hAnsiTheme="majorHAnsi" w:cstheme="majorHAnsi"/>
              </w:rPr>
            </w:pPr>
          </w:p>
        </w:tc>
        <w:tc>
          <w:tcPr>
            <w:tcW w:w="2057" w:type="dxa"/>
          </w:tcPr>
          <w:p w14:paraId="1BDAD2C1" w14:textId="77777777" w:rsidR="007A2B45" w:rsidRDefault="007A2B45" w:rsidP="00F263FF">
            <w:pPr>
              <w:pStyle w:val="APDTABLE1"/>
              <w:rPr>
                <w:rFonts w:asciiTheme="majorHAnsi" w:hAnsiTheme="majorHAnsi" w:cstheme="majorHAnsi"/>
              </w:rPr>
            </w:pPr>
          </w:p>
        </w:tc>
        <w:tc>
          <w:tcPr>
            <w:tcW w:w="2057" w:type="dxa"/>
          </w:tcPr>
          <w:p w14:paraId="34D3F2CE" w14:textId="77777777" w:rsidR="007A2B45" w:rsidRDefault="007A2B45" w:rsidP="00F263FF">
            <w:pPr>
              <w:pStyle w:val="APDTABLE1"/>
              <w:rPr>
                <w:rFonts w:asciiTheme="majorHAnsi" w:hAnsiTheme="majorHAnsi" w:cstheme="majorHAnsi"/>
              </w:rPr>
            </w:pPr>
          </w:p>
        </w:tc>
        <w:tc>
          <w:tcPr>
            <w:tcW w:w="2057" w:type="dxa"/>
          </w:tcPr>
          <w:p w14:paraId="4216A79F" w14:textId="77777777" w:rsidR="007A2B45" w:rsidRDefault="007A2B45" w:rsidP="00F263FF">
            <w:pPr>
              <w:pStyle w:val="APDTABLE1"/>
              <w:rPr>
                <w:rFonts w:asciiTheme="majorHAnsi" w:hAnsiTheme="majorHAnsi" w:cstheme="majorHAnsi"/>
              </w:rPr>
            </w:pPr>
          </w:p>
        </w:tc>
        <w:tc>
          <w:tcPr>
            <w:tcW w:w="2057" w:type="dxa"/>
          </w:tcPr>
          <w:p w14:paraId="7A294FFB" w14:textId="77777777" w:rsidR="007A2B45" w:rsidRDefault="007A2B45" w:rsidP="00F263FF">
            <w:pPr>
              <w:pStyle w:val="APDTABLE1"/>
              <w:rPr>
                <w:rFonts w:asciiTheme="majorHAnsi" w:hAnsiTheme="majorHAnsi" w:cstheme="majorHAnsi"/>
              </w:rPr>
            </w:pPr>
          </w:p>
        </w:tc>
        <w:tc>
          <w:tcPr>
            <w:tcW w:w="2057" w:type="dxa"/>
          </w:tcPr>
          <w:p w14:paraId="1DEE4C7E" w14:textId="77777777" w:rsidR="007A2B45" w:rsidRDefault="007A2B45" w:rsidP="00F263FF">
            <w:pPr>
              <w:pStyle w:val="APDTABLE1"/>
              <w:rPr>
                <w:rFonts w:asciiTheme="majorHAnsi" w:hAnsiTheme="majorHAnsi" w:cstheme="majorHAnsi"/>
              </w:rPr>
            </w:pPr>
          </w:p>
        </w:tc>
      </w:tr>
      <w:tr w:rsidR="007A2B45" w14:paraId="63994F34" w14:textId="77777777" w:rsidTr="007A2B45">
        <w:trPr>
          <w:cantSplit/>
          <w:trHeight w:val="331"/>
          <w:tblHeader/>
        </w:trPr>
        <w:tc>
          <w:tcPr>
            <w:tcW w:w="2058" w:type="dxa"/>
          </w:tcPr>
          <w:p w14:paraId="22BC558A" w14:textId="77777777" w:rsidR="007A2B45" w:rsidRDefault="007A2B45" w:rsidP="00F263FF">
            <w:pPr>
              <w:pStyle w:val="APDTABLE1"/>
              <w:rPr>
                <w:rFonts w:asciiTheme="majorHAnsi" w:hAnsiTheme="majorHAnsi" w:cstheme="majorHAnsi"/>
              </w:rPr>
            </w:pPr>
          </w:p>
        </w:tc>
        <w:tc>
          <w:tcPr>
            <w:tcW w:w="2057" w:type="dxa"/>
          </w:tcPr>
          <w:p w14:paraId="2E2A54E4" w14:textId="77777777" w:rsidR="007A2B45" w:rsidRDefault="007A2B45" w:rsidP="00F263FF">
            <w:pPr>
              <w:pStyle w:val="APDTABLE1"/>
              <w:rPr>
                <w:rFonts w:asciiTheme="majorHAnsi" w:hAnsiTheme="majorHAnsi" w:cstheme="majorHAnsi"/>
              </w:rPr>
            </w:pPr>
          </w:p>
        </w:tc>
        <w:tc>
          <w:tcPr>
            <w:tcW w:w="2057" w:type="dxa"/>
          </w:tcPr>
          <w:p w14:paraId="29078CCA" w14:textId="77777777" w:rsidR="007A2B45" w:rsidRDefault="007A2B45" w:rsidP="00F263FF">
            <w:pPr>
              <w:pStyle w:val="APDTABLE1"/>
              <w:rPr>
                <w:rFonts w:asciiTheme="majorHAnsi" w:hAnsiTheme="majorHAnsi" w:cstheme="majorHAnsi"/>
              </w:rPr>
            </w:pPr>
          </w:p>
        </w:tc>
        <w:tc>
          <w:tcPr>
            <w:tcW w:w="2057" w:type="dxa"/>
          </w:tcPr>
          <w:p w14:paraId="21B0F2AF" w14:textId="77777777" w:rsidR="007A2B45" w:rsidRDefault="007A2B45" w:rsidP="00F263FF">
            <w:pPr>
              <w:pStyle w:val="APDTABLE1"/>
              <w:rPr>
                <w:rFonts w:asciiTheme="majorHAnsi" w:hAnsiTheme="majorHAnsi" w:cstheme="majorHAnsi"/>
              </w:rPr>
            </w:pPr>
          </w:p>
        </w:tc>
        <w:tc>
          <w:tcPr>
            <w:tcW w:w="2057" w:type="dxa"/>
          </w:tcPr>
          <w:p w14:paraId="1C5ADA20" w14:textId="77777777" w:rsidR="007A2B45" w:rsidRDefault="007A2B45" w:rsidP="00F263FF">
            <w:pPr>
              <w:pStyle w:val="APDTABLE1"/>
              <w:rPr>
                <w:rFonts w:asciiTheme="majorHAnsi" w:hAnsiTheme="majorHAnsi" w:cstheme="majorHAnsi"/>
              </w:rPr>
            </w:pPr>
          </w:p>
        </w:tc>
        <w:tc>
          <w:tcPr>
            <w:tcW w:w="2057" w:type="dxa"/>
          </w:tcPr>
          <w:p w14:paraId="646EBA17" w14:textId="77777777" w:rsidR="007A2B45" w:rsidRDefault="007A2B45" w:rsidP="00F263FF">
            <w:pPr>
              <w:pStyle w:val="APDTABLE1"/>
              <w:rPr>
                <w:rFonts w:asciiTheme="majorHAnsi" w:hAnsiTheme="majorHAnsi" w:cstheme="majorHAnsi"/>
              </w:rPr>
            </w:pPr>
          </w:p>
        </w:tc>
        <w:tc>
          <w:tcPr>
            <w:tcW w:w="2057" w:type="dxa"/>
          </w:tcPr>
          <w:p w14:paraId="06E5F49A" w14:textId="77777777" w:rsidR="007A2B45" w:rsidRDefault="007A2B45" w:rsidP="00F263FF">
            <w:pPr>
              <w:pStyle w:val="APDTABLE1"/>
              <w:rPr>
                <w:rFonts w:asciiTheme="majorHAnsi" w:hAnsiTheme="majorHAnsi" w:cstheme="majorHAnsi"/>
              </w:rPr>
            </w:pPr>
          </w:p>
        </w:tc>
      </w:tr>
      <w:tr w:rsidR="007A2B45" w14:paraId="3A21A815" w14:textId="77777777" w:rsidTr="007A2B45">
        <w:trPr>
          <w:cantSplit/>
          <w:trHeight w:val="331"/>
          <w:tblHeader/>
        </w:trPr>
        <w:tc>
          <w:tcPr>
            <w:tcW w:w="2058" w:type="dxa"/>
          </w:tcPr>
          <w:p w14:paraId="0B805EDB" w14:textId="77777777" w:rsidR="007A2B45" w:rsidRDefault="007A2B45" w:rsidP="00F263FF">
            <w:pPr>
              <w:pStyle w:val="APDTABLE1"/>
              <w:rPr>
                <w:rFonts w:asciiTheme="majorHAnsi" w:hAnsiTheme="majorHAnsi" w:cstheme="majorHAnsi"/>
              </w:rPr>
            </w:pPr>
          </w:p>
        </w:tc>
        <w:tc>
          <w:tcPr>
            <w:tcW w:w="2057" w:type="dxa"/>
          </w:tcPr>
          <w:p w14:paraId="56C39D52" w14:textId="77777777" w:rsidR="007A2B45" w:rsidRDefault="007A2B45" w:rsidP="00F263FF">
            <w:pPr>
              <w:pStyle w:val="APDTABLE1"/>
              <w:rPr>
                <w:rFonts w:asciiTheme="majorHAnsi" w:hAnsiTheme="majorHAnsi" w:cstheme="majorHAnsi"/>
              </w:rPr>
            </w:pPr>
          </w:p>
        </w:tc>
        <w:tc>
          <w:tcPr>
            <w:tcW w:w="2057" w:type="dxa"/>
          </w:tcPr>
          <w:p w14:paraId="2977419C" w14:textId="77777777" w:rsidR="007A2B45" w:rsidRDefault="007A2B45" w:rsidP="00F263FF">
            <w:pPr>
              <w:pStyle w:val="APDTABLE1"/>
              <w:rPr>
                <w:rFonts w:asciiTheme="majorHAnsi" w:hAnsiTheme="majorHAnsi" w:cstheme="majorHAnsi"/>
              </w:rPr>
            </w:pPr>
          </w:p>
        </w:tc>
        <w:tc>
          <w:tcPr>
            <w:tcW w:w="2057" w:type="dxa"/>
          </w:tcPr>
          <w:p w14:paraId="5F1CC9F3" w14:textId="77777777" w:rsidR="007A2B45" w:rsidRDefault="007A2B45" w:rsidP="00F263FF">
            <w:pPr>
              <w:pStyle w:val="APDTABLE1"/>
              <w:rPr>
                <w:rFonts w:asciiTheme="majorHAnsi" w:hAnsiTheme="majorHAnsi" w:cstheme="majorHAnsi"/>
              </w:rPr>
            </w:pPr>
          </w:p>
        </w:tc>
        <w:tc>
          <w:tcPr>
            <w:tcW w:w="2057" w:type="dxa"/>
          </w:tcPr>
          <w:p w14:paraId="6E7C45AB" w14:textId="77777777" w:rsidR="007A2B45" w:rsidRDefault="007A2B45" w:rsidP="00F263FF">
            <w:pPr>
              <w:pStyle w:val="APDTABLE1"/>
              <w:rPr>
                <w:rFonts w:asciiTheme="majorHAnsi" w:hAnsiTheme="majorHAnsi" w:cstheme="majorHAnsi"/>
              </w:rPr>
            </w:pPr>
          </w:p>
        </w:tc>
        <w:tc>
          <w:tcPr>
            <w:tcW w:w="2057" w:type="dxa"/>
          </w:tcPr>
          <w:p w14:paraId="30899B85" w14:textId="77777777" w:rsidR="007A2B45" w:rsidRDefault="007A2B45" w:rsidP="00F263FF">
            <w:pPr>
              <w:pStyle w:val="APDTABLE1"/>
              <w:rPr>
                <w:rFonts w:asciiTheme="majorHAnsi" w:hAnsiTheme="majorHAnsi" w:cstheme="majorHAnsi"/>
              </w:rPr>
            </w:pPr>
          </w:p>
        </w:tc>
        <w:tc>
          <w:tcPr>
            <w:tcW w:w="2057" w:type="dxa"/>
          </w:tcPr>
          <w:p w14:paraId="2A201476" w14:textId="77777777" w:rsidR="007A2B45" w:rsidRDefault="007A2B45" w:rsidP="00F263FF">
            <w:pPr>
              <w:pStyle w:val="APDTABLE1"/>
              <w:rPr>
                <w:rFonts w:asciiTheme="majorHAnsi" w:hAnsiTheme="majorHAnsi" w:cstheme="majorHAnsi"/>
              </w:rPr>
            </w:pPr>
          </w:p>
        </w:tc>
      </w:tr>
      <w:tr w:rsidR="007A2B45" w14:paraId="46300B47" w14:textId="77777777" w:rsidTr="007A2B45">
        <w:trPr>
          <w:cantSplit/>
          <w:trHeight w:val="331"/>
          <w:tblHeader/>
        </w:trPr>
        <w:tc>
          <w:tcPr>
            <w:tcW w:w="2058" w:type="dxa"/>
          </w:tcPr>
          <w:p w14:paraId="383A0512" w14:textId="77777777" w:rsidR="007A2B45" w:rsidRDefault="007A2B45" w:rsidP="00F263FF">
            <w:pPr>
              <w:pStyle w:val="APDTABLE1"/>
              <w:rPr>
                <w:rFonts w:asciiTheme="majorHAnsi" w:hAnsiTheme="majorHAnsi" w:cstheme="majorHAnsi"/>
              </w:rPr>
            </w:pPr>
          </w:p>
        </w:tc>
        <w:tc>
          <w:tcPr>
            <w:tcW w:w="2057" w:type="dxa"/>
          </w:tcPr>
          <w:p w14:paraId="24E15C68" w14:textId="77777777" w:rsidR="007A2B45" w:rsidRDefault="007A2B45" w:rsidP="00F263FF">
            <w:pPr>
              <w:pStyle w:val="APDTABLE1"/>
              <w:rPr>
                <w:rFonts w:asciiTheme="majorHAnsi" w:hAnsiTheme="majorHAnsi" w:cstheme="majorHAnsi"/>
              </w:rPr>
            </w:pPr>
          </w:p>
        </w:tc>
        <w:tc>
          <w:tcPr>
            <w:tcW w:w="2057" w:type="dxa"/>
          </w:tcPr>
          <w:p w14:paraId="74A2C597" w14:textId="77777777" w:rsidR="007A2B45" w:rsidRDefault="007A2B45" w:rsidP="00F263FF">
            <w:pPr>
              <w:pStyle w:val="APDTABLE1"/>
              <w:rPr>
                <w:rFonts w:asciiTheme="majorHAnsi" w:hAnsiTheme="majorHAnsi" w:cstheme="majorHAnsi"/>
              </w:rPr>
            </w:pPr>
          </w:p>
        </w:tc>
        <w:tc>
          <w:tcPr>
            <w:tcW w:w="2057" w:type="dxa"/>
          </w:tcPr>
          <w:p w14:paraId="23831A75" w14:textId="77777777" w:rsidR="007A2B45" w:rsidRDefault="007A2B45" w:rsidP="00F263FF">
            <w:pPr>
              <w:pStyle w:val="APDTABLE1"/>
              <w:rPr>
                <w:rFonts w:asciiTheme="majorHAnsi" w:hAnsiTheme="majorHAnsi" w:cstheme="majorHAnsi"/>
              </w:rPr>
            </w:pPr>
          </w:p>
        </w:tc>
        <w:tc>
          <w:tcPr>
            <w:tcW w:w="2057" w:type="dxa"/>
          </w:tcPr>
          <w:p w14:paraId="779AC3DB" w14:textId="77777777" w:rsidR="007A2B45" w:rsidRDefault="007A2B45" w:rsidP="00F263FF">
            <w:pPr>
              <w:pStyle w:val="APDTABLE1"/>
              <w:rPr>
                <w:rFonts w:asciiTheme="majorHAnsi" w:hAnsiTheme="majorHAnsi" w:cstheme="majorHAnsi"/>
              </w:rPr>
            </w:pPr>
          </w:p>
        </w:tc>
        <w:tc>
          <w:tcPr>
            <w:tcW w:w="2057" w:type="dxa"/>
          </w:tcPr>
          <w:p w14:paraId="0758A219" w14:textId="77777777" w:rsidR="007A2B45" w:rsidRDefault="007A2B45" w:rsidP="00F263FF">
            <w:pPr>
              <w:pStyle w:val="APDTABLE1"/>
              <w:rPr>
                <w:rFonts w:asciiTheme="majorHAnsi" w:hAnsiTheme="majorHAnsi" w:cstheme="majorHAnsi"/>
              </w:rPr>
            </w:pPr>
          </w:p>
        </w:tc>
        <w:tc>
          <w:tcPr>
            <w:tcW w:w="2057" w:type="dxa"/>
          </w:tcPr>
          <w:p w14:paraId="6E4F3E2B" w14:textId="77777777" w:rsidR="007A2B45" w:rsidRDefault="007A2B45" w:rsidP="00F263FF">
            <w:pPr>
              <w:pStyle w:val="APDTABLE1"/>
              <w:rPr>
                <w:rFonts w:asciiTheme="majorHAnsi" w:hAnsiTheme="majorHAnsi" w:cstheme="majorHAnsi"/>
              </w:rPr>
            </w:pPr>
          </w:p>
        </w:tc>
      </w:tr>
    </w:tbl>
    <w:p w14:paraId="4091AC50" w14:textId="62FF15B4" w:rsidR="007A2B45" w:rsidRDefault="007A2B45" w:rsidP="002A609A">
      <w:pPr>
        <w:pStyle w:val="APDTABLE1"/>
        <w:rPr>
          <w:rFonts w:asciiTheme="majorHAnsi" w:hAnsiTheme="majorHAnsi" w:cstheme="majorHAnsi"/>
        </w:rPr>
      </w:pPr>
    </w:p>
    <w:p w14:paraId="6EF0810A" w14:textId="7E7D1993" w:rsidR="007A2B45" w:rsidRDefault="007A2B45" w:rsidP="002A609A">
      <w:pPr>
        <w:pStyle w:val="APDTABLE1"/>
        <w:rPr>
          <w:rFonts w:asciiTheme="majorHAnsi" w:hAnsiTheme="majorHAnsi" w:cstheme="majorHAnsi"/>
        </w:rPr>
      </w:pPr>
      <w:r>
        <w:rPr>
          <w:rFonts w:asciiTheme="majorHAnsi" w:hAnsiTheme="majorHAnsi" w:cstheme="majorHAnsi"/>
        </w:rPr>
        <w:br w:type="page"/>
      </w:r>
    </w:p>
    <w:p w14:paraId="01654E5B" w14:textId="77777777" w:rsidR="00002E2D" w:rsidRPr="00DC71B0" w:rsidRDefault="00002E2D" w:rsidP="004E7FAD">
      <w:pPr>
        <w:pStyle w:val="HeadLevel1"/>
        <w:outlineLvl w:val="0"/>
      </w:pPr>
      <w:r w:rsidRPr="00DC71B0">
        <w:lastRenderedPageBreak/>
        <w:t>Process Heater/Furnace Attributes</w:t>
      </w:r>
    </w:p>
    <w:p w14:paraId="267BA352" w14:textId="77777777" w:rsidR="00002E2D" w:rsidRPr="00DC71B0" w:rsidRDefault="00002E2D" w:rsidP="004E7FAD">
      <w:pPr>
        <w:pStyle w:val="HeadLevel1"/>
        <w:outlineLvl w:val="0"/>
      </w:pPr>
      <w:r w:rsidRPr="00DC71B0">
        <w:t>Form OP-UA5 (Page 7)</w:t>
      </w:r>
    </w:p>
    <w:p w14:paraId="70354559" w14:textId="77777777" w:rsidR="00002E2D" w:rsidRPr="00DC71B0" w:rsidRDefault="00002E2D" w:rsidP="004E7FAD">
      <w:pPr>
        <w:pStyle w:val="HeadLevel1"/>
        <w:outlineLvl w:val="0"/>
      </w:pPr>
      <w:r w:rsidRPr="00DC71B0">
        <w:t>Federal Operating Permit Program</w:t>
      </w:r>
    </w:p>
    <w:p w14:paraId="46B25464" w14:textId="77777777" w:rsidR="00002E2D" w:rsidRPr="00DC71B0" w:rsidRDefault="00002E2D" w:rsidP="004E7FAD">
      <w:pPr>
        <w:pStyle w:val="HeadLevel1"/>
        <w:outlineLvl w:val="0"/>
      </w:pPr>
      <w:bookmarkStart w:id="41" w:name="TBL4"/>
      <w:r w:rsidRPr="00DC71B0">
        <w:t>Table 4</w:t>
      </w:r>
      <w:bookmarkEnd w:id="41"/>
      <w:r w:rsidRPr="00DC71B0">
        <w:t>: Title 30 Texas Administrative Code Chapter 111 (30 TAC Chapter 111)</w:t>
      </w:r>
    </w:p>
    <w:p w14:paraId="425C5586" w14:textId="06D7AE50" w:rsidR="00002E2D" w:rsidRDefault="00002E2D" w:rsidP="004E7FAD">
      <w:pPr>
        <w:pStyle w:val="HeadLevel1"/>
        <w:outlineLvl w:val="0"/>
      </w:pPr>
      <w:r w:rsidRPr="00DC71B0">
        <w:t>Subchapter A, Division 2: Incineration</w:t>
      </w:r>
    </w:p>
    <w:p w14:paraId="0CE3B0D9" w14:textId="77777777" w:rsidR="00D9339E" w:rsidRPr="00DC71B0" w:rsidRDefault="00D9339E" w:rsidP="004E7FAD">
      <w:pPr>
        <w:pStyle w:val="HeadLevel1"/>
        <w:outlineLvl w:val="0"/>
      </w:pPr>
      <w:r w:rsidRPr="00DC71B0">
        <w:t>Texas Commission on Environmental Quality</w:t>
      </w:r>
    </w:p>
    <w:p w14:paraId="6B49BD4F" w14:textId="77777777" w:rsidR="006C2FB6" w:rsidRDefault="006C2FB6" w:rsidP="000D5197">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 Title 30 Texas Administrative Code Chapter 111 (30 TAC Chapter 111) Subchapter A, Division 2: Incineration&#10;&#10;&#10;&#10;&#10;"/>
      </w:tblPr>
      <w:tblGrid>
        <w:gridCol w:w="4800"/>
        <w:gridCol w:w="4800"/>
        <w:gridCol w:w="4800"/>
      </w:tblGrid>
      <w:tr w:rsidR="0093034F" w:rsidRPr="00756A95" w14:paraId="1A2D0677" w14:textId="77777777" w:rsidTr="00F263FF">
        <w:trPr>
          <w:cantSplit/>
          <w:tblHeader/>
        </w:trPr>
        <w:tc>
          <w:tcPr>
            <w:tcW w:w="4800" w:type="dxa"/>
            <w:shd w:val="clear" w:color="auto" w:fill="D9D9D9" w:themeFill="background1" w:themeFillShade="D9"/>
          </w:tcPr>
          <w:p w14:paraId="79EC538B"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7A4DF2A1"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1B620380"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4C8F9738" w14:textId="77777777" w:rsidTr="00F263FF">
        <w:trPr>
          <w:cantSplit/>
          <w:tblHeader/>
        </w:trPr>
        <w:tc>
          <w:tcPr>
            <w:tcW w:w="4800" w:type="dxa"/>
          </w:tcPr>
          <w:p w14:paraId="4C5DC937" w14:textId="77777777" w:rsidR="0093034F" w:rsidRDefault="0093034F" w:rsidP="00F263FF">
            <w:pPr>
              <w:rPr>
                <w:rFonts w:asciiTheme="majorHAnsi" w:hAnsiTheme="majorHAnsi" w:cstheme="majorHAnsi"/>
              </w:rPr>
            </w:pPr>
          </w:p>
        </w:tc>
        <w:tc>
          <w:tcPr>
            <w:tcW w:w="4800" w:type="dxa"/>
          </w:tcPr>
          <w:p w14:paraId="44FD0F7B" w14:textId="77777777" w:rsidR="0093034F" w:rsidRDefault="0093034F" w:rsidP="00F263FF">
            <w:pPr>
              <w:rPr>
                <w:rFonts w:asciiTheme="majorHAnsi" w:hAnsiTheme="majorHAnsi" w:cstheme="majorHAnsi"/>
              </w:rPr>
            </w:pPr>
          </w:p>
        </w:tc>
        <w:tc>
          <w:tcPr>
            <w:tcW w:w="4800" w:type="dxa"/>
          </w:tcPr>
          <w:p w14:paraId="3B47CCFB" w14:textId="77777777" w:rsidR="0093034F" w:rsidRDefault="0093034F" w:rsidP="00F263FF">
            <w:pPr>
              <w:rPr>
                <w:rFonts w:asciiTheme="majorHAnsi" w:hAnsiTheme="majorHAnsi" w:cstheme="majorHAnsi"/>
              </w:rPr>
            </w:pPr>
          </w:p>
        </w:tc>
      </w:tr>
    </w:tbl>
    <w:p w14:paraId="39B48EDF" w14:textId="3899A017"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 Title 30 Texas Administrative Code Chapter 111 (30 TAC Chapter 111) Subchapter A, Division 2: Incineration&#10;"/>
      </w:tblPr>
      <w:tblGrid>
        <w:gridCol w:w="3599"/>
        <w:gridCol w:w="3599"/>
        <w:gridCol w:w="3601"/>
        <w:gridCol w:w="3601"/>
      </w:tblGrid>
      <w:tr w:rsidR="007A2B45" w14:paraId="03F80441" w14:textId="77777777" w:rsidTr="007A2B45">
        <w:trPr>
          <w:cantSplit/>
          <w:tblHeader/>
        </w:trPr>
        <w:tc>
          <w:tcPr>
            <w:tcW w:w="3599" w:type="dxa"/>
            <w:shd w:val="clear" w:color="auto" w:fill="D9D9D9" w:themeFill="background1" w:themeFillShade="D9"/>
            <w:vAlign w:val="center"/>
          </w:tcPr>
          <w:p w14:paraId="39633880" w14:textId="55EDDBF2" w:rsidR="007A2B45" w:rsidRPr="007A2B45" w:rsidRDefault="007A2B45" w:rsidP="007A2B45">
            <w:pPr>
              <w:pStyle w:val="APDTABLE1"/>
              <w:jc w:val="center"/>
              <w:rPr>
                <w:rFonts w:asciiTheme="majorHAnsi" w:hAnsiTheme="majorHAnsi" w:cstheme="majorHAnsi"/>
                <w:sz w:val="20"/>
                <w:szCs w:val="20"/>
              </w:rPr>
            </w:pPr>
            <w:r w:rsidRPr="007A2B45">
              <w:rPr>
                <w:sz w:val="20"/>
                <w:szCs w:val="20"/>
              </w:rPr>
              <w:t>Unit ID No.</w:t>
            </w:r>
          </w:p>
        </w:tc>
        <w:tc>
          <w:tcPr>
            <w:tcW w:w="3599" w:type="dxa"/>
            <w:shd w:val="clear" w:color="auto" w:fill="D9D9D9" w:themeFill="background1" w:themeFillShade="D9"/>
            <w:vAlign w:val="center"/>
          </w:tcPr>
          <w:p w14:paraId="2E7B5421" w14:textId="211BB0A7" w:rsidR="007A2B45" w:rsidRPr="007A2B45" w:rsidRDefault="007A2B45" w:rsidP="007A2B45">
            <w:pPr>
              <w:pStyle w:val="APDTABLE1"/>
              <w:jc w:val="center"/>
              <w:rPr>
                <w:rFonts w:asciiTheme="majorHAnsi" w:hAnsiTheme="majorHAnsi" w:cstheme="majorHAnsi"/>
                <w:sz w:val="20"/>
                <w:szCs w:val="20"/>
              </w:rPr>
            </w:pPr>
            <w:r w:rsidRPr="007A2B45">
              <w:rPr>
                <w:sz w:val="20"/>
                <w:szCs w:val="20"/>
              </w:rPr>
              <w:t>SOP/GOP Index No.</w:t>
            </w:r>
          </w:p>
        </w:tc>
        <w:tc>
          <w:tcPr>
            <w:tcW w:w="3601" w:type="dxa"/>
            <w:shd w:val="clear" w:color="auto" w:fill="D9D9D9" w:themeFill="background1" w:themeFillShade="D9"/>
            <w:vAlign w:val="center"/>
          </w:tcPr>
          <w:p w14:paraId="4C57305B" w14:textId="3E54B310" w:rsidR="007A2B45" w:rsidRPr="007A2B45" w:rsidRDefault="007A2B45" w:rsidP="007A2B45">
            <w:pPr>
              <w:pStyle w:val="APDTABLE1"/>
              <w:jc w:val="center"/>
              <w:rPr>
                <w:rFonts w:asciiTheme="majorHAnsi" w:hAnsiTheme="majorHAnsi" w:cstheme="majorHAnsi"/>
                <w:sz w:val="20"/>
                <w:szCs w:val="20"/>
              </w:rPr>
            </w:pPr>
            <w:r w:rsidRPr="007A2B45">
              <w:rPr>
                <w:sz w:val="20"/>
                <w:szCs w:val="20"/>
              </w:rPr>
              <w:t>Hazardous Waste</w:t>
            </w:r>
          </w:p>
        </w:tc>
        <w:tc>
          <w:tcPr>
            <w:tcW w:w="3601" w:type="dxa"/>
            <w:shd w:val="clear" w:color="auto" w:fill="D9D9D9" w:themeFill="background1" w:themeFillShade="D9"/>
            <w:vAlign w:val="center"/>
          </w:tcPr>
          <w:p w14:paraId="47E70001" w14:textId="52662FB9" w:rsidR="007A2B45" w:rsidRPr="007A2B45" w:rsidRDefault="007A2B45" w:rsidP="007A2B45">
            <w:pPr>
              <w:pStyle w:val="APDTABLE1"/>
              <w:jc w:val="center"/>
              <w:rPr>
                <w:rFonts w:asciiTheme="majorHAnsi" w:hAnsiTheme="majorHAnsi" w:cstheme="majorHAnsi"/>
                <w:sz w:val="20"/>
                <w:szCs w:val="20"/>
              </w:rPr>
            </w:pPr>
            <w:r w:rsidRPr="007A2B45">
              <w:rPr>
                <w:sz w:val="20"/>
                <w:szCs w:val="20"/>
              </w:rPr>
              <w:t>Monitor</w:t>
            </w:r>
          </w:p>
        </w:tc>
      </w:tr>
      <w:tr w:rsidR="007A2B45" w14:paraId="470A31E9" w14:textId="77777777" w:rsidTr="007A2B45">
        <w:trPr>
          <w:cantSplit/>
          <w:tblHeader/>
        </w:trPr>
        <w:tc>
          <w:tcPr>
            <w:tcW w:w="3599" w:type="dxa"/>
          </w:tcPr>
          <w:p w14:paraId="5CC7D594" w14:textId="77777777" w:rsidR="007A2B45" w:rsidRDefault="007A2B45" w:rsidP="002A609A">
            <w:pPr>
              <w:pStyle w:val="APDTABLE1"/>
              <w:rPr>
                <w:rFonts w:asciiTheme="majorHAnsi" w:hAnsiTheme="majorHAnsi" w:cstheme="majorHAnsi"/>
              </w:rPr>
            </w:pPr>
          </w:p>
        </w:tc>
        <w:tc>
          <w:tcPr>
            <w:tcW w:w="3599" w:type="dxa"/>
          </w:tcPr>
          <w:p w14:paraId="79596FCB" w14:textId="77777777" w:rsidR="007A2B45" w:rsidRDefault="007A2B45" w:rsidP="002A609A">
            <w:pPr>
              <w:pStyle w:val="APDTABLE1"/>
              <w:rPr>
                <w:rFonts w:asciiTheme="majorHAnsi" w:hAnsiTheme="majorHAnsi" w:cstheme="majorHAnsi"/>
              </w:rPr>
            </w:pPr>
          </w:p>
        </w:tc>
        <w:tc>
          <w:tcPr>
            <w:tcW w:w="3601" w:type="dxa"/>
          </w:tcPr>
          <w:p w14:paraId="7722C790" w14:textId="77777777" w:rsidR="007A2B45" w:rsidRDefault="007A2B45" w:rsidP="002A609A">
            <w:pPr>
              <w:pStyle w:val="APDTABLE1"/>
              <w:rPr>
                <w:rFonts w:asciiTheme="majorHAnsi" w:hAnsiTheme="majorHAnsi" w:cstheme="majorHAnsi"/>
              </w:rPr>
            </w:pPr>
          </w:p>
        </w:tc>
        <w:tc>
          <w:tcPr>
            <w:tcW w:w="3601" w:type="dxa"/>
          </w:tcPr>
          <w:p w14:paraId="0C4ED33B" w14:textId="77777777" w:rsidR="007A2B45" w:rsidRDefault="007A2B45" w:rsidP="002A609A">
            <w:pPr>
              <w:pStyle w:val="APDTABLE1"/>
              <w:rPr>
                <w:rFonts w:asciiTheme="majorHAnsi" w:hAnsiTheme="majorHAnsi" w:cstheme="majorHAnsi"/>
              </w:rPr>
            </w:pPr>
          </w:p>
        </w:tc>
      </w:tr>
      <w:tr w:rsidR="007A2B45" w14:paraId="221A8F7A" w14:textId="77777777" w:rsidTr="007A2B45">
        <w:trPr>
          <w:cantSplit/>
          <w:tblHeader/>
        </w:trPr>
        <w:tc>
          <w:tcPr>
            <w:tcW w:w="3599" w:type="dxa"/>
          </w:tcPr>
          <w:p w14:paraId="6D298950" w14:textId="77777777" w:rsidR="007A2B45" w:rsidRDefault="007A2B45" w:rsidP="002A609A">
            <w:pPr>
              <w:pStyle w:val="APDTABLE1"/>
              <w:rPr>
                <w:rFonts w:asciiTheme="majorHAnsi" w:hAnsiTheme="majorHAnsi" w:cstheme="majorHAnsi"/>
              </w:rPr>
            </w:pPr>
          </w:p>
        </w:tc>
        <w:tc>
          <w:tcPr>
            <w:tcW w:w="3599" w:type="dxa"/>
          </w:tcPr>
          <w:p w14:paraId="6D85C1D0" w14:textId="77777777" w:rsidR="007A2B45" w:rsidRDefault="007A2B45" w:rsidP="002A609A">
            <w:pPr>
              <w:pStyle w:val="APDTABLE1"/>
              <w:rPr>
                <w:rFonts w:asciiTheme="majorHAnsi" w:hAnsiTheme="majorHAnsi" w:cstheme="majorHAnsi"/>
              </w:rPr>
            </w:pPr>
          </w:p>
        </w:tc>
        <w:tc>
          <w:tcPr>
            <w:tcW w:w="3601" w:type="dxa"/>
          </w:tcPr>
          <w:p w14:paraId="3F693D3A" w14:textId="77777777" w:rsidR="007A2B45" w:rsidRDefault="007A2B45" w:rsidP="002A609A">
            <w:pPr>
              <w:pStyle w:val="APDTABLE1"/>
              <w:rPr>
                <w:rFonts w:asciiTheme="majorHAnsi" w:hAnsiTheme="majorHAnsi" w:cstheme="majorHAnsi"/>
              </w:rPr>
            </w:pPr>
          </w:p>
        </w:tc>
        <w:tc>
          <w:tcPr>
            <w:tcW w:w="3601" w:type="dxa"/>
          </w:tcPr>
          <w:p w14:paraId="435EACDE" w14:textId="77777777" w:rsidR="007A2B45" w:rsidRDefault="007A2B45" w:rsidP="002A609A">
            <w:pPr>
              <w:pStyle w:val="APDTABLE1"/>
              <w:rPr>
                <w:rFonts w:asciiTheme="majorHAnsi" w:hAnsiTheme="majorHAnsi" w:cstheme="majorHAnsi"/>
              </w:rPr>
            </w:pPr>
          </w:p>
        </w:tc>
      </w:tr>
      <w:tr w:rsidR="007A2B45" w14:paraId="013B2F44" w14:textId="77777777" w:rsidTr="007A2B45">
        <w:trPr>
          <w:cantSplit/>
          <w:tblHeader/>
        </w:trPr>
        <w:tc>
          <w:tcPr>
            <w:tcW w:w="3599" w:type="dxa"/>
          </w:tcPr>
          <w:p w14:paraId="6FFEF217" w14:textId="77777777" w:rsidR="007A2B45" w:rsidRDefault="007A2B45" w:rsidP="002A609A">
            <w:pPr>
              <w:pStyle w:val="APDTABLE1"/>
              <w:rPr>
                <w:rFonts w:asciiTheme="majorHAnsi" w:hAnsiTheme="majorHAnsi" w:cstheme="majorHAnsi"/>
              </w:rPr>
            </w:pPr>
          </w:p>
        </w:tc>
        <w:tc>
          <w:tcPr>
            <w:tcW w:w="3599" w:type="dxa"/>
          </w:tcPr>
          <w:p w14:paraId="229A5418" w14:textId="77777777" w:rsidR="007A2B45" w:rsidRDefault="007A2B45" w:rsidP="002A609A">
            <w:pPr>
              <w:pStyle w:val="APDTABLE1"/>
              <w:rPr>
                <w:rFonts w:asciiTheme="majorHAnsi" w:hAnsiTheme="majorHAnsi" w:cstheme="majorHAnsi"/>
              </w:rPr>
            </w:pPr>
          </w:p>
        </w:tc>
        <w:tc>
          <w:tcPr>
            <w:tcW w:w="3601" w:type="dxa"/>
          </w:tcPr>
          <w:p w14:paraId="1598DA63" w14:textId="77777777" w:rsidR="007A2B45" w:rsidRDefault="007A2B45" w:rsidP="002A609A">
            <w:pPr>
              <w:pStyle w:val="APDTABLE1"/>
              <w:rPr>
                <w:rFonts w:asciiTheme="majorHAnsi" w:hAnsiTheme="majorHAnsi" w:cstheme="majorHAnsi"/>
              </w:rPr>
            </w:pPr>
          </w:p>
        </w:tc>
        <w:tc>
          <w:tcPr>
            <w:tcW w:w="3601" w:type="dxa"/>
          </w:tcPr>
          <w:p w14:paraId="23FECE40" w14:textId="77777777" w:rsidR="007A2B45" w:rsidRDefault="007A2B45" w:rsidP="002A609A">
            <w:pPr>
              <w:pStyle w:val="APDTABLE1"/>
              <w:rPr>
                <w:rFonts w:asciiTheme="majorHAnsi" w:hAnsiTheme="majorHAnsi" w:cstheme="majorHAnsi"/>
              </w:rPr>
            </w:pPr>
          </w:p>
        </w:tc>
      </w:tr>
      <w:tr w:rsidR="007A2B45" w14:paraId="2B21D653" w14:textId="77777777" w:rsidTr="007A2B45">
        <w:trPr>
          <w:cantSplit/>
          <w:tblHeader/>
        </w:trPr>
        <w:tc>
          <w:tcPr>
            <w:tcW w:w="3599" w:type="dxa"/>
          </w:tcPr>
          <w:p w14:paraId="5690F827" w14:textId="77777777" w:rsidR="007A2B45" w:rsidRDefault="007A2B45" w:rsidP="002A609A">
            <w:pPr>
              <w:pStyle w:val="APDTABLE1"/>
              <w:rPr>
                <w:rFonts w:asciiTheme="majorHAnsi" w:hAnsiTheme="majorHAnsi" w:cstheme="majorHAnsi"/>
              </w:rPr>
            </w:pPr>
          </w:p>
        </w:tc>
        <w:tc>
          <w:tcPr>
            <w:tcW w:w="3599" w:type="dxa"/>
          </w:tcPr>
          <w:p w14:paraId="128CCFB5" w14:textId="77777777" w:rsidR="007A2B45" w:rsidRDefault="007A2B45" w:rsidP="002A609A">
            <w:pPr>
              <w:pStyle w:val="APDTABLE1"/>
              <w:rPr>
                <w:rFonts w:asciiTheme="majorHAnsi" w:hAnsiTheme="majorHAnsi" w:cstheme="majorHAnsi"/>
              </w:rPr>
            </w:pPr>
          </w:p>
        </w:tc>
        <w:tc>
          <w:tcPr>
            <w:tcW w:w="3601" w:type="dxa"/>
          </w:tcPr>
          <w:p w14:paraId="3F090209" w14:textId="77777777" w:rsidR="007A2B45" w:rsidRDefault="007A2B45" w:rsidP="002A609A">
            <w:pPr>
              <w:pStyle w:val="APDTABLE1"/>
              <w:rPr>
                <w:rFonts w:asciiTheme="majorHAnsi" w:hAnsiTheme="majorHAnsi" w:cstheme="majorHAnsi"/>
              </w:rPr>
            </w:pPr>
          </w:p>
        </w:tc>
        <w:tc>
          <w:tcPr>
            <w:tcW w:w="3601" w:type="dxa"/>
          </w:tcPr>
          <w:p w14:paraId="579FDE59" w14:textId="77777777" w:rsidR="007A2B45" w:rsidRDefault="007A2B45" w:rsidP="002A609A">
            <w:pPr>
              <w:pStyle w:val="APDTABLE1"/>
              <w:rPr>
                <w:rFonts w:asciiTheme="majorHAnsi" w:hAnsiTheme="majorHAnsi" w:cstheme="majorHAnsi"/>
              </w:rPr>
            </w:pPr>
          </w:p>
        </w:tc>
      </w:tr>
      <w:tr w:rsidR="007A2B45" w14:paraId="73AC118D" w14:textId="77777777" w:rsidTr="007A2B45">
        <w:trPr>
          <w:cantSplit/>
          <w:tblHeader/>
        </w:trPr>
        <w:tc>
          <w:tcPr>
            <w:tcW w:w="3599" w:type="dxa"/>
          </w:tcPr>
          <w:p w14:paraId="4C27E766" w14:textId="77777777" w:rsidR="007A2B45" w:rsidRDefault="007A2B45" w:rsidP="002A609A">
            <w:pPr>
              <w:pStyle w:val="APDTABLE1"/>
              <w:rPr>
                <w:rFonts w:asciiTheme="majorHAnsi" w:hAnsiTheme="majorHAnsi" w:cstheme="majorHAnsi"/>
              </w:rPr>
            </w:pPr>
          </w:p>
        </w:tc>
        <w:tc>
          <w:tcPr>
            <w:tcW w:w="3599" w:type="dxa"/>
          </w:tcPr>
          <w:p w14:paraId="31E50534" w14:textId="77777777" w:rsidR="007A2B45" w:rsidRDefault="007A2B45" w:rsidP="002A609A">
            <w:pPr>
              <w:pStyle w:val="APDTABLE1"/>
              <w:rPr>
                <w:rFonts w:asciiTheme="majorHAnsi" w:hAnsiTheme="majorHAnsi" w:cstheme="majorHAnsi"/>
              </w:rPr>
            </w:pPr>
          </w:p>
        </w:tc>
        <w:tc>
          <w:tcPr>
            <w:tcW w:w="3601" w:type="dxa"/>
          </w:tcPr>
          <w:p w14:paraId="3A056ADE" w14:textId="77777777" w:rsidR="007A2B45" w:rsidRDefault="007A2B45" w:rsidP="002A609A">
            <w:pPr>
              <w:pStyle w:val="APDTABLE1"/>
              <w:rPr>
                <w:rFonts w:asciiTheme="majorHAnsi" w:hAnsiTheme="majorHAnsi" w:cstheme="majorHAnsi"/>
              </w:rPr>
            </w:pPr>
          </w:p>
        </w:tc>
        <w:tc>
          <w:tcPr>
            <w:tcW w:w="3601" w:type="dxa"/>
          </w:tcPr>
          <w:p w14:paraId="7CE18B5B" w14:textId="77777777" w:rsidR="007A2B45" w:rsidRDefault="007A2B45" w:rsidP="002A609A">
            <w:pPr>
              <w:pStyle w:val="APDTABLE1"/>
              <w:rPr>
                <w:rFonts w:asciiTheme="majorHAnsi" w:hAnsiTheme="majorHAnsi" w:cstheme="majorHAnsi"/>
              </w:rPr>
            </w:pPr>
          </w:p>
        </w:tc>
      </w:tr>
      <w:tr w:rsidR="007A2B45" w14:paraId="1BA2E91A" w14:textId="77777777" w:rsidTr="007A2B45">
        <w:trPr>
          <w:cantSplit/>
          <w:tblHeader/>
        </w:trPr>
        <w:tc>
          <w:tcPr>
            <w:tcW w:w="3599" w:type="dxa"/>
          </w:tcPr>
          <w:p w14:paraId="2B2A32DA" w14:textId="77777777" w:rsidR="007A2B45" w:rsidRDefault="007A2B45" w:rsidP="002A609A">
            <w:pPr>
              <w:pStyle w:val="APDTABLE1"/>
              <w:rPr>
                <w:rFonts w:asciiTheme="majorHAnsi" w:hAnsiTheme="majorHAnsi" w:cstheme="majorHAnsi"/>
              </w:rPr>
            </w:pPr>
          </w:p>
        </w:tc>
        <w:tc>
          <w:tcPr>
            <w:tcW w:w="3599" w:type="dxa"/>
          </w:tcPr>
          <w:p w14:paraId="0CEDACF1" w14:textId="77777777" w:rsidR="007A2B45" w:rsidRDefault="007A2B45" w:rsidP="002A609A">
            <w:pPr>
              <w:pStyle w:val="APDTABLE1"/>
              <w:rPr>
                <w:rFonts w:asciiTheme="majorHAnsi" w:hAnsiTheme="majorHAnsi" w:cstheme="majorHAnsi"/>
              </w:rPr>
            </w:pPr>
          </w:p>
        </w:tc>
        <w:tc>
          <w:tcPr>
            <w:tcW w:w="3601" w:type="dxa"/>
          </w:tcPr>
          <w:p w14:paraId="15104191" w14:textId="77777777" w:rsidR="007A2B45" w:rsidRDefault="007A2B45" w:rsidP="002A609A">
            <w:pPr>
              <w:pStyle w:val="APDTABLE1"/>
              <w:rPr>
                <w:rFonts w:asciiTheme="majorHAnsi" w:hAnsiTheme="majorHAnsi" w:cstheme="majorHAnsi"/>
              </w:rPr>
            </w:pPr>
          </w:p>
        </w:tc>
        <w:tc>
          <w:tcPr>
            <w:tcW w:w="3601" w:type="dxa"/>
          </w:tcPr>
          <w:p w14:paraId="2BB00B01" w14:textId="77777777" w:rsidR="007A2B45" w:rsidRDefault="007A2B45" w:rsidP="002A609A">
            <w:pPr>
              <w:pStyle w:val="APDTABLE1"/>
              <w:rPr>
                <w:rFonts w:asciiTheme="majorHAnsi" w:hAnsiTheme="majorHAnsi" w:cstheme="majorHAnsi"/>
              </w:rPr>
            </w:pPr>
          </w:p>
        </w:tc>
      </w:tr>
      <w:tr w:rsidR="007A2B45" w14:paraId="622D4EBE" w14:textId="77777777" w:rsidTr="007A2B45">
        <w:trPr>
          <w:cantSplit/>
          <w:tblHeader/>
        </w:trPr>
        <w:tc>
          <w:tcPr>
            <w:tcW w:w="3599" w:type="dxa"/>
          </w:tcPr>
          <w:p w14:paraId="53D545B6" w14:textId="77777777" w:rsidR="007A2B45" w:rsidRDefault="007A2B45" w:rsidP="002A609A">
            <w:pPr>
              <w:pStyle w:val="APDTABLE1"/>
              <w:rPr>
                <w:rFonts w:asciiTheme="majorHAnsi" w:hAnsiTheme="majorHAnsi" w:cstheme="majorHAnsi"/>
              </w:rPr>
            </w:pPr>
          </w:p>
        </w:tc>
        <w:tc>
          <w:tcPr>
            <w:tcW w:w="3599" w:type="dxa"/>
          </w:tcPr>
          <w:p w14:paraId="37E04AF5" w14:textId="77777777" w:rsidR="007A2B45" w:rsidRDefault="007A2B45" w:rsidP="002A609A">
            <w:pPr>
              <w:pStyle w:val="APDTABLE1"/>
              <w:rPr>
                <w:rFonts w:asciiTheme="majorHAnsi" w:hAnsiTheme="majorHAnsi" w:cstheme="majorHAnsi"/>
              </w:rPr>
            </w:pPr>
          </w:p>
        </w:tc>
        <w:tc>
          <w:tcPr>
            <w:tcW w:w="3601" w:type="dxa"/>
          </w:tcPr>
          <w:p w14:paraId="32A86BCD" w14:textId="77777777" w:rsidR="007A2B45" w:rsidRDefault="007A2B45" w:rsidP="002A609A">
            <w:pPr>
              <w:pStyle w:val="APDTABLE1"/>
              <w:rPr>
                <w:rFonts w:asciiTheme="majorHAnsi" w:hAnsiTheme="majorHAnsi" w:cstheme="majorHAnsi"/>
              </w:rPr>
            </w:pPr>
          </w:p>
        </w:tc>
        <w:tc>
          <w:tcPr>
            <w:tcW w:w="3601" w:type="dxa"/>
          </w:tcPr>
          <w:p w14:paraId="023C664D" w14:textId="77777777" w:rsidR="007A2B45" w:rsidRDefault="007A2B45" w:rsidP="002A609A">
            <w:pPr>
              <w:pStyle w:val="APDTABLE1"/>
              <w:rPr>
                <w:rFonts w:asciiTheme="majorHAnsi" w:hAnsiTheme="majorHAnsi" w:cstheme="majorHAnsi"/>
              </w:rPr>
            </w:pPr>
          </w:p>
        </w:tc>
      </w:tr>
      <w:tr w:rsidR="007A2B45" w14:paraId="65F4F09A" w14:textId="77777777" w:rsidTr="007A2B45">
        <w:trPr>
          <w:cantSplit/>
          <w:tblHeader/>
        </w:trPr>
        <w:tc>
          <w:tcPr>
            <w:tcW w:w="3599" w:type="dxa"/>
          </w:tcPr>
          <w:p w14:paraId="7F32C6C2" w14:textId="77777777" w:rsidR="007A2B45" w:rsidRDefault="007A2B45" w:rsidP="002A609A">
            <w:pPr>
              <w:pStyle w:val="APDTABLE1"/>
              <w:rPr>
                <w:rFonts w:asciiTheme="majorHAnsi" w:hAnsiTheme="majorHAnsi" w:cstheme="majorHAnsi"/>
              </w:rPr>
            </w:pPr>
          </w:p>
        </w:tc>
        <w:tc>
          <w:tcPr>
            <w:tcW w:w="3599" w:type="dxa"/>
          </w:tcPr>
          <w:p w14:paraId="59FFFB5C" w14:textId="77777777" w:rsidR="007A2B45" w:rsidRDefault="007A2B45" w:rsidP="002A609A">
            <w:pPr>
              <w:pStyle w:val="APDTABLE1"/>
              <w:rPr>
                <w:rFonts w:asciiTheme="majorHAnsi" w:hAnsiTheme="majorHAnsi" w:cstheme="majorHAnsi"/>
              </w:rPr>
            </w:pPr>
          </w:p>
        </w:tc>
        <w:tc>
          <w:tcPr>
            <w:tcW w:w="3601" w:type="dxa"/>
          </w:tcPr>
          <w:p w14:paraId="4C5ACE11" w14:textId="77777777" w:rsidR="007A2B45" w:rsidRDefault="007A2B45" w:rsidP="002A609A">
            <w:pPr>
              <w:pStyle w:val="APDTABLE1"/>
              <w:rPr>
                <w:rFonts w:asciiTheme="majorHAnsi" w:hAnsiTheme="majorHAnsi" w:cstheme="majorHAnsi"/>
              </w:rPr>
            </w:pPr>
          </w:p>
        </w:tc>
        <w:tc>
          <w:tcPr>
            <w:tcW w:w="3601" w:type="dxa"/>
          </w:tcPr>
          <w:p w14:paraId="52A02D41" w14:textId="77777777" w:rsidR="007A2B45" w:rsidRDefault="007A2B45" w:rsidP="002A609A">
            <w:pPr>
              <w:pStyle w:val="APDTABLE1"/>
              <w:rPr>
                <w:rFonts w:asciiTheme="majorHAnsi" w:hAnsiTheme="majorHAnsi" w:cstheme="majorHAnsi"/>
              </w:rPr>
            </w:pPr>
          </w:p>
        </w:tc>
      </w:tr>
      <w:tr w:rsidR="007A2B45" w14:paraId="1710126D" w14:textId="77777777" w:rsidTr="007A2B45">
        <w:trPr>
          <w:cantSplit/>
          <w:tblHeader/>
        </w:trPr>
        <w:tc>
          <w:tcPr>
            <w:tcW w:w="3599" w:type="dxa"/>
          </w:tcPr>
          <w:p w14:paraId="00BF238F" w14:textId="77777777" w:rsidR="007A2B45" w:rsidRDefault="007A2B45" w:rsidP="002A609A">
            <w:pPr>
              <w:pStyle w:val="APDTABLE1"/>
              <w:rPr>
                <w:rFonts w:asciiTheme="majorHAnsi" w:hAnsiTheme="majorHAnsi" w:cstheme="majorHAnsi"/>
              </w:rPr>
            </w:pPr>
          </w:p>
        </w:tc>
        <w:tc>
          <w:tcPr>
            <w:tcW w:w="3599" w:type="dxa"/>
          </w:tcPr>
          <w:p w14:paraId="3FC3CFBC" w14:textId="77777777" w:rsidR="007A2B45" w:rsidRDefault="007A2B45" w:rsidP="002A609A">
            <w:pPr>
              <w:pStyle w:val="APDTABLE1"/>
              <w:rPr>
                <w:rFonts w:asciiTheme="majorHAnsi" w:hAnsiTheme="majorHAnsi" w:cstheme="majorHAnsi"/>
              </w:rPr>
            </w:pPr>
          </w:p>
        </w:tc>
        <w:tc>
          <w:tcPr>
            <w:tcW w:w="3601" w:type="dxa"/>
          </w:tcPr>
          <w:p w14:paraId="56052E45" w14:textId="77777777" w:rsidR="007A2B45" w:rsidRDefault="007A2B45" w:rsidP="002A609A">
            <w:pPr>
              <w:pStyle w:val="APDTABLE1"/>
              <w:rPr>
                <w:rFonts w:asciiTheme="majorHAnsi" w:hAnsiTheme="majorHAnsi" w:cstheme="majorHAnsi"/>
              </w:rPr>
            </w:pPr>
          </w:p>
        </w:tc>
        <w:tc>
          <w:tcPr>
            <w:tcW w:w="3601" w:type="dxa"/>
          </w:tcPr>
          <w:p w14:paraId="1FCD039B" w14:textId="77777777" w:rsidR="007A2B45" w:rsidRDefault="007A2B45" w:rsidP="002A609A">
            <w:pPr>
              <w:pStyle w:val="APDTABLE1"/>
              <w:rPr>
                <w:rFonts w:asciiTheme="majorHAnsi" w:hAnsiTheme="majorHAnsi" w:cstheme="majorHAnsi"/>
              </w:rPr>
            </w:pPr>
          </w:p>
        </w:tc>
      </w:tr>
      <w:tr w:rsidR="007A2B45" w14:paraId="3D059010" w14:textId="77777777" w:rsidTr="007A2B45">
        <w:trPr>
          <w:cantSplit/>
          <w:tblHeader/>
        </w:trPr>
        <w:tc>
          <w:tcPr>
            <w:tcW w:w="3599" w:type="dxa"/>
          </w:tcPr>
          <w:p w14:paraId="5E9F8D27" w14:textId="77777777" w:rsidR="007A2B45" w:rsidRDefault="007A2B45" w:rsidP="002A609A">
            <w:pPr>
              <w:pStyle w:val="APDTABLE1"/>
              <w:rPr>
                <w:rFonts w:asciiTheme="majorHAnsi" w:hAnsiTheme="majorHAnsi" w:cstheme="majorHAnsi"/>
              </w:rPr>
            </w:pPr>
          </w:p>
        </w:tc>
        <w:tc>
          <w:tcPr>
            <w:tcW w:w="3599" w:type="dxa"/>
          </w:tcPr>
          <w:p w14:paraId="29F6FBCB" w14:textId="77777777" w:rsidR="007A2B45" w:rsidRDefault="007A2B45" w:rsidP="002A609A">
            <w:pPr>
              <w:pStyle w:val="APDTABLE1"/>
              <w:rPr>
                <w:rFonts w:asciiTheme="majorHAnsi" w:hAnsiTheme="majorHAnsi" w:cstheme="majorHAnsi"/>
              </w:rPr>
            </w:pPr>
          </w:p>
        </w:tc>
        <w:tc>
          <w:tcPr>
            <w:tcW w:w="3601" w:type="dxa"/>
          </w:tcPr>
          <w:p w14:paraId="0326606F" w14:textId="77777777" w:rsidR="007A2B45" w:rsidRDefault="007A2B45" w:rsidP="002A609A">
            <w:pPr>
              <w:pStyle w:val="APDTABLE1"/>
              <w:rPr>
                <w:rFonts w:asciiTheme="majorHAnsi" w:hAnsiTheme="majorHAnsi" w:cstheme="majorHAnsi"/>
              </w:rPr>
            </w:pPr>
          </w:p>
        </w:tc>
        <w:tc>
          <w:tcPr>
            <w:tcW w:w="3601" w:type="dxa"/>
          </w:tcPr>
          <w:p w14:paraId="724E32F3" w14:textId="77777777" w:rsidR="007A2B45" w:rsidRDefault="007A2B45" w:rsidP="002A609A">
            <w:pPr>
              <w:pStyle w:val="APDTABLE1"/>
              <w:rPr>
                <w:rFonts w:asciiTheme="majorHAnsi" w:hAnsiTheme="majorHAnsi" w:cstheme="majorHAnsi"/>
              </w:rPr>
            </w:pPr>
          </w:p>
        </w:tc>
      </w:tr>
    </w:tbl>
    <w:p w14:paraId="789F5A82" w14:textId="14602A5C" w:rsidR="007A2B45" w:rsidRDefault="007A2B45" w:rsidP="002A609A">
      <w:pPr>
        <w:pStyle w:val="APDTABLE1"/>
        <w:rPr>
          <w:rFonts w:asciiTheme="majorHAnsi" w:hAnsiTheme="majorHAnsi" w:cstheme="majorHAnsi"/>
        </w:rPr>
      </w:pPr>
    </w:p>
    <w:p w14:paraId="30E026B7" w14:textId="77777777" w:rsidR="00BA02CB" w:rsidRPr="00DC71B0" w:rsidRDefault="00BA02CB" w:rsidP="00BC6ACF">
      <w:pPr>
        <w:pStyle w:val="HeadLevel1"/>
        <w:jc w:val="left"/>
      </w:pPr>
      <w:r w:rsidRPr="00DC71B0">
        <w:br w:type="page"/>
      </w:r>
    </w:p>
    <w:p w14:paraId="24FD0F92" w14:textId="77777777" w:rsidR="00002E2D" w:rsidRPr="00DC71B0" w:rsidRDefault="00002E2D" w:rsidP="004E7FAD">
      <w:pPr>
        <w:pStyle w:val="HeadLevel1"/>
        <w:outlineLvl w:val="0"/>
      </w:pPr>
      <w:r w:rsidRPr="00DC71B0">
        <w:lastRenderedPageBreak/>
        <w:t>Process Heater/Furnace Attributes</w:t>
      </w:r>
    </w:p>
    <w:p w14:paraId="1B4B2BEF" w14:textId="77777777" w:rsidR="00002E2D" w:rsidRPr="00DC71B0" w:rsidRDefault="00002E2D" w:rsidP="004E7FAD">
      <w:pPr>
        <w:pStyle w:val="HeadLevel1"/>
        <w:outlineLvl w:val="0"/>
      </w:pPr>
      <w:r w:rsidRPr="00DC71B0">
        <w:t>Form OP-UA5 (Page 8)</w:t>
      </w:r>
    </w:p>
    <w:p w14:paraId="2DE125C6" w14:textId="77777777" w:rsidR="00002E2D" w:rsidRPr="00DC71B0" w:rsidRDefault="00002E2D" w:rsidP="004E7FAD">
      <w:pPr>
        <w:pStyle w:val="HeadLevel1"/>
        <w:outlineLvl w:val="0"/>
      </w:pPr>
      <w:r w:rsidRPr="00DC71B0">
        <w:t>Federal Operating Permit Program</w:t>
      </w:r>
    </w:p>
    <w:p w14:paraId="3172EE61" w14:textId="77777777" w:rsidR="00002E2D" w:rsidRPr="00DC71B0" w:rsidRDefault="00002E2D" w:rsidP="004E7FAD">
      <w:pPr>
        <w:pStyle w:val="HeadLevel1"/>
        <w:outlineLvl w:val="0"/>
      </w:pPr>
      <w:bookmarkStart w:id="42" w:name="TBL5a"/>
      <w:r w:rsidRPr="00DC71B0">
        <w:t>Table 5a</w:t>
      </w:r>
      <w:bookmarkEnd w:id="42"/>
      <w:r w:rsidRPr="00DC71B0">
        <w:t>: Title 40 Code of Federal Regulations Part 63 (40 CFR Part 63)</w:t>
      </w:r>
    </w:p>
    <w:p w14:paraId="212FC3BA" w14:textId="4E2FDE68" w:rsidR="00002E2D" w:rsidRDefault="00002E2D" w:rsidP="004E7FAD">
      <w:pPr>
        <w:pStyle w:val="HeadLevel1"/>
        <w:outlineLvl w:val="0"/>
      </w:pPr>
      <w:r w:rsidRPr="00DC71B0">
        <w:t>Subpart EEE: Hazardous Waste Combustors</w:t>
      </w:r>
    </w:p>
    <w:p w14:paraId="0A7C7A48" w14:textId="77777777" w:rsidR="00D9339E" w:rsidRPr="00DC71B0" w:rsidRDefault="00D9339E" w:rsidP="004E7FAD">
      <w:pPr>
        <w:pStyle w:val="HeadLevel1"/>
        <w:outlineLvl w:val="0"/>
      </w:pPr>
      <w:r w:rsidRPr="00DC71B0">
        <w:t>Texas Commission on Environmental Quality</w:t>
      </w:r>
    </w:p>
    <w:p w14:paraId="40746ACC" w14:textId="77777777" w:rsidR="006C2FB6" w:rsidRDefault="006C2FB6" w:rsidP="000D5197">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40 Code of Federal Regulations Part 63 (40 CFR Part 63)&#10;Subpart EEE: Hazardous Waste Combustors&#10;&#10;&#10;&#10;&#10;&#10;"/>
      </w:tblPr>
      <w:tblGrid>
        <w:gridCol w:w="4800"/>
        <w:gridCol w:w="4800"/>
        <w:gridCol w:w="4800"/>
      </w:tblGrid>
      <w:tr w:rsidR="0093034F" w:rsidRPr="00756A95" w14:paraId="0217D989" w14:textId="77777777" w:rsidTr="00F263FF">
        <w:trPr>
          <w:cantSplit/>
          <w:tblHeader/>
        </w:trPr>
        <w:tc>
          <w:tcPr>
            <w:tcW w:w="4800" w:type="dxa"/>
            <w:shd w:val="clear" w:color="auto" w:fill="D9D9D9" w:themeFill="background1" w:themeFillShade="D9"/>
          </w:tcPr>
          <w:p w14:paraId="2116583C"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7143BEC6"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4EFAAEFC"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74AC2C13" w14:textId="77777777" w:rsidTr="00F263FF">
        <w:trPr>
          <w:cantSplit/>
          <w:tblHeader/>
        </w:trPr>
        <w:tc>
          <w:tcPr>
            <w:tcW w:w="4800" w:type="dxa"/>
          </w:tcPr>
          <w:p w14:paraId="68010408" w14:textId="77777777" w:rsidR="0093034F" w:rsidRDefault="0093034F" w:rsidP="00F263FF">
            <w:pPr>
              <w:rPr>
                <w:rFonts w:asciiTheme="majorHAnsi" w:hAnsiTheme="majorHAnsi" w:cstheme="majorHAnsi"/>
              </w:rPr>
            </w:pPr>
          </w:p>
        </w:tc>
        <w:tc>
          <w:tcPr>
            <w:tcW w:w="4800" w:type="dxa"/>
          </w:tcPr>
          <w:p w14:paraId="0A0487A5" w14:textId="77777777" w:rsidR="0093034F" w:rsidRDefault="0093034F" w:rsidP="00F263FF">
            <w:pPr>
              <w:rPr>
                <w:rFonts w:asciiTheme="majorHAnsi" w:hAnsiTheme="majorHAnsi" w:cstheme="majorHAnsi"/>
              </w:rPr>
            </w:pPr>
          </w:p>
        </w:tc>
        <w:tc>
          <w:tcPr>
            <w:tcW w:w="4800" w:type="dxa"/>
          </w:tcPr>
          <w:p w14:paraId="6AD47C29" w14:textId="77777777" w:rsidR="0093034F" w:rsidRDefault="0093034F" w:rsidP="00F263FF">
            <w:pPr>
              <w:rPr>
                <w:rFonts w:asciiTheme="majorHAnsi" w:hAnsiTheme="majorHAnsi" w:cstheme="majorHAnsi"/>
              </w:rPr>
            </w:pPr>
          </w:p>
        </w:tc>
      </w:tr>
    </w:tbl>
    <w:p w14:paraId="637FB7D6" w14:textId="2863297F"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3 (40 CFR Part 63)&#10;Subpart EEE: Hazardous Waste Combustors&#10;"/>
      </w:tblPr>
      <w:tblGrid>
        <w:gridCol w:w="1800"/>
        <w:gridCol w:w="1800"/>
        <w:gridCol w:w="1800"/>
        <w:gridCol w:w="1800"/>
        <w:gridCol w:w="1800"/>
        <w:gridCol w:w="1800"/>
        <w:gridCol w:w="1800"/>
        <w:gridCol w:w="1800"/>
      </w:tblGrid>
      <w:tr w:rsidR="0070075A" w14:paraId="56E5C1CD" w14:textId="77777777" w:rsidTr="0070075A">
        <w:trPr>
          <w:cantSplit/>
          <w:tblHeader/>
        </w:trPr>
        <w:tc>
          <w:tcPr>
            <w:tcW w:w="1800" w:type="dxa"/>
            <w:shd w:val="clear" w:color="auto" w:fill="D9D9D9" w:themeFill="background1" w:themeFillShade="D9"/>
            <w:vAlign w:val="center"/>
          </w:tcPr>
          <w:p w14:paraId="410B813F" w14:textId="1FDB4464" w:rsidR="0070075A" w:rsidRPr="0070075A" w:rsidRDefault="0070075A" w:rsidP="004F4DCD">
            <w:pPr>
              <w:pStyle w:val="APDTABLE1"/>
              <w:jc w:val="center"/>
              <w:rPr>
                <w:rFonts w:asciiTheme="majorHAnsi" w:hAnsiTheme="majorHAnsi" w:cstheme="majorHAnsi"/>
                <w:sz w:val="20"/>
                <w:szCs w:val="20"/>
              </w:rPr>
            </w:pPr>
            <w:r w:rsidRPr="0070075A">
              <w:rPr>
                <w:sz w:val="20"/>
                <w:szCs w:val="20"/>
              </w:rPr>
              <w:t>Unit ID No.</w:t>
            </w:r>
          </w:p>
        </w:tc>
        <w:tc>
          <w:tcPr>
            <w:tcW w:w="1800" w:type="dxa"/>
            <w:shd w:val="clear" w:color="auto" w:fill="D9D9D9" w:themeFill="background1" w:themeFillShade="D9"/>
            <w:vAlign w:val="center"/>
          </w:tcPr>
          <w:p w14:paraId="3627245B" w14:textId="77777777" w:rsidR="004F4DCD" w:rsidRDefault="0070075A" w:rsidP="004F4DCD">
            <w:pPr>
              <w:pStyle w:val="APDTABLE1"/>
              <w:jc w:val="center"/>
              <w:rPr>
                <w:sz w:val="20"/>
                <w:szCs w:val="20"/>
              </w:rPr>
            </w:pPr>
            <w:r w:rsidRPr="0070075A">
              <w:rPr>
                <w:sz w:val="20"/>
                <w:szCs w:val="20"/>
              </w:rPr>
              <w:t>SOP/GOP</w:t>
            </w:r>
          </w:p>
          <w:p w14:paraId="716A2D58" w14:textId="0B9A3670" w:rsidR="0070075A" w:rsidRPr="0070075A" w:rsidRDefault="0070075A" w:rsidP="004F4DCD">
            <w:pPr>
              <w:pStyle w:val="APDTABLE1"/>
              <w:jc w:val="center"/>
              <w:rPr>
                <w:rFonts w:asciiTheme="majorHAnsi" w:hAnsiTheme="majorHAnsi" w:cstheme="majorHAnsi"/>
                <w:sz w:val="20"/>
                <w:szCs w:val="20"/>
              </w:rPr>
            </w:pPr>
            <w:r w:rsidRPr="0070075A">
              <w:rPr>
                <w:sz w:val="20"/>
                <w:szCs w:val="20"/>
              </w:rPr>
              <w:t>Index No.</w:t>
            </w:r>
          </w:p>
        </w:tc>
        <w:tc>
          <w:tcPr>
            <w:tcW w:w="1800" w:type="dxa"/>
            <w:shd w:val="clear" w:color="auto" w:fill="D9D9D9" w:themeFill="background1" w:themeFillShade="D9"/>
            <w:vAlign w:val="center"/>
          </w:tcPr>
          <w:p w14:paraId="115A728C" w14:textId="32A46F95" w:rsidR="0070075A" w:rsidRPr="0070075A" w:rsidRDefault="0070075A" w:rsidP="004F4DCD">
            <w:pPr>
              <w:pStyle w:val="APDTABLE1"/>
              <w:jc w:val="center"/>
              <w:rPr>
                <w:rFonts w:asciiTheme="majorHAnsi" w:hAnsiTheme="majorHAnsi" w:cstheme="majorHAnsi"/>
                <w:sz w:val="20"/>
                <w:szCs w:val="20"/>
              </w:rPr>
            </w:pPr>
            <w:r w:rsidRPr="0070075A">
              <w:rPr>
                <w:sz w:val="20"/>
                <w:szCs w:val="20"/>
              </w:rPr>
              <w:t>Existing Source</w:t>
            </w:r>
          </w:p>
        </w:tc>
        <w:tc>
          <w:tcPr>
            <w:tcW w:w="1800" w:type="dxa"/>
            <w:shd w:val="clear" w:color="auto" w:fill="D9D9D9" w:themeFill="background1" w:themeFillShade="D9"/>
            <w:vAlign w:val="center"/>
          </w:tcPr>
          <w:p w14:paraId="55E915C9" w14:textId="69598563" w:rsidR="0070075A" w:rsidRPr="0070075A" w:rsidRDefault="0070075A" w:rsidP="004F4DCD">
            <w:pPr>
              <w:pStyle w:val="APDTABLE1"/>
              <w:jc w:val="center"/>
              <w:rPr>
                <w:rFonts w:asciiTheme="majorHAnsi" w:hAnsiTheme="majorHAnsi" w:cstheme="majorHAnsi"/>
                <w:sz w:val="20"/>
                <w:szCs w:val="20"/>
              </w:rPr>
            </w:pPr>
            <w:r w:rsidRPr="0070075A">
              <w:rPr>
                <w:sz w:val="20"/>
                <w:szCs w:val="20"/>
              </w:rPr>
              <w:t>Area Source</w:t>
            </w:r>
          </w:p>
        </w:tc>
        <w:tc>
          <w:tcPr>
            <w:tcW w:w="1800" w:type="dxa"/>
            <w:shd w:val="clear" w:color="auto" w:fill="D9D9D9" w:themeFill="background1" w:themeFillShade="D9"/>
            <w:vAlign w:val="center"/>
          </w:tcPr>
          <w:p w14:paraId="69F5B14F" w14:textId="2A5F1423" w:rsidR="0070075A" w:rsidRPr="0070075A" w:rsidRDefault="0070075A" w:rsidP="004F4DCD">
            <w:pPr>
              <w:pStyle w:val="APDTABLE1"/>
              <w:jc w:val="center"/>
              <w:rPr>
                <w:rFonts w:asciiTheme="majorHAnsi" w:hAnsiTheme="majorHAnsi" w:cstheme="majorHAnsi"/>
                <w:sz w:val="20"/>
                <w:szCs w:val="20"/>
              </w:rPr>
            </w:pPr>
            <w:r w:rsidRPr="0070075A">
              <w:rPr>
                <w:sz w:val="20"/>
                <w:szCs w:val="20"/>
              </w:rPr>
              <w:t>Elective Standards</w:t>
            </w:r>
          </w:p>
        </w:tc>
        <w:tc>
          <w:tcPr>
            <w:tcW w:w="1800" w:type="dxa"/>
            <w:shd w:val="clear" w:color="auto" w:fill="D9D9D9" w:themeFill="background1" w:themeFillShade="D9"/>
            <w:vAlign w:val="center"/>
          </w:tcPr>
          <w:p w14:paraId="11A0161E" w14:textId="1C944F25" w:rsidR="0070075A" w:rsidRPr="0070075A" w:rsidRDefault="0070075A" w:rsidP="004F4DCD">
            <w:pPr>
              <w:pStyle w:val="APDTABLE1"/>
              <w:jc w:val="center"/>
              <w:rPr>
                <w:rFonts w:asciiTheme="majorHAnsi" w:hAnsiTheme="majorHAnsi" w:cstheme="majorHAnsi"/>
                <w:sz w:val="20"/>
                <w:szCs w:val="20"/>
              </w:rPr>
            </w:pPr>
            <w:r w:rsidRPr="0070075A">
              <w:rPr>
                <w:sz w:val="20"/>
                <w:szCs w:val="20"/>
              </w:rPr>
              <w:t>Dioxin/Furan Standard</w:t>
            </w:r>
          </w:p>
        </w:tc>
        <w:tc>
          <w:tcPr>
            <w:tcW w:w="1800" w:type="dxa"/>
            <w:shd w:val="clear" w:color="auto" w:fill="D9D9D9" w:themeFill="background1" w:themeFillShade="D9"/>
            <w:vAlign w:val="center"/>
          </w:tcPr>
          <w:p w14:paraId="457D3E63" w14:textId="00ACFC69" w:rsidR="0070075A" w:rsidRPr="0070075A" w:rsidRDefault="0070075A" w:rsidP="004F4DCD">
            <w:pPr>
              <w:pStyle w:val="APDTABLE1"/>
              <w:jc w:val="center"/>
              <w:rPr>
                <w:rFonts w:asciiTheme="majorHAnsi" w:hAnsiTheme="majorHAnsi" w:cstheme="majorHAnsi"/>
                <w:sz w:val="20"/>
                <w:szCs w:val="20"/>
              </w:rPr>
            </w:pPr>
            <w:r w:rsidRPr="0070075A">
              <w:rPr>
                <w:sz w:val="20"/>
                <w:szCs w:val="20"/>
              </w:rPr>
              <w:t>CO/THC Standard</w:t>
            </w:r>
          </w:p>
        </w:tc>
        <w:tc>
          <w:tcPr>
            <w:tcW w:w="1800" w:type="dxa"/>
            <w:shd w:val="clear" w:color="auto" w:fill="D9D9D9" w:themeFill="background1" w:themeFillShade="D9"/>
            <w:vAlign w:val="center"/>
          </w:tcPr>
          <w:p w14:paraId="70CF2C5C" w14:textId="075C03F1" w:rsidR="0070075A" w:rsidRPr="0070075A" w:rsidRDefault="0070075A" w:rsidP="004F4DCD">
            <w:pPr>
              <w:pStyle w:val="APDTABLE1"/>
              <w:jc w:val="center"/>
              <w:rPr>
                <w:rFonts w:asciiTheme="majorHAnsi" w:hAnsiTheme="majorHAnsi" w:cstheme="majorHAnsi"/>
                <w:sz w:val="20"/>
                <w:szCs w:val="20"/>
              </w:rPr>
            </w:pPr>
            <w:r w:rsidRPr="0070075A">
              <w:rPr>
                <w:sz w:val="20"/>
                <w:szCs w:val="20"/>
              </w:rPr>
              <w:t>TOT-Cl Standard</w:t>
            </w:r>
          </w:p>
        </w:tc>
      </w:tr>
      <w:tr w:rsidR="0070075A" w14:paraId="3ABFF76D" w14:textId="77777777" w:rsidTr="004F4DCD">
        <w:trPr>
          <w:cantSplit/>
          <w:trHeight w:val="331"/>
          <w:tblHeader/>
        </w:trPr>
        <w:tc>
          <w:tcPr>
            <w:tcW w:w="1800" w:type="dxa"/>
          </w:tcPr>
          <w:p w14:paraId="4748C364" w14:textId="77777777" w:rsidR="0070075A" w:rsidRDefault="0070075A" w:rsidP="002A609A">
            <w:pPr>
              <w:pStyle w:val="APDTABLE1"/>
              <w:rPr>
                <w:rFonts w:asciiTheme="majorHAnsi" w:hAnsiTheme="majorHAnsi" w:cstheme="majorHAnsi"/>
              </w:rPr>
            </w:pPr>
          </w:p>
        </w:tc>
        <w:tc>
          <w:tcPr>
            <w:tcW w:w="1800" w:type="dxa"/>
          </w:tcPr>
          <w:p w14:paraId="4D7CBF13" w14:textId="77777777" w:rsidR="0070075A" w:rsidRDefault="0070075A" w:rsidP="002A609A">
            <w:pPr>
              <w:pStyle w:val="APDTABLE1"/>
              <w:rPr>
                <w:rFonts w:asciiTheme="majorHAnsi" w:hAnsiTheme="majorHAnsi" w:cstheme="majorHAnsi"/>
              </w:rPr>
            </w:pPr>
          </w:p>
        </w:tc>
        <w:tc>
          <w:tcPr>
            <w:tcW w:w="1800" w:type="dxa"/>
          </w:tcPr>
          <w:p w14:paraId="45BB1D62" w14:textId="77777777" w:rsidR="0070075A" w:rsidRDefault="0070075A" w:rsidP="002A609A">
            <w:pPr>
              <w:pStyle w:val="APDTABLE1"/>
              <w:rPr>
                <w:rFonts w:asciiTheme="majorHAnsi" w:hAnsiTheme="majorHAnsi" w:cstheme="majorHAnsi"/>
              </w:rPr>
            </w:pPr>
          </w:p>
        </w:tc>
        <w:tc>
          <w:tcPr>
            <w:tcW w:w="1800" w:type="dxa"/>
          </w:tcPr>
          <w:p w14:paraId="36631E81" w14:textId="77777777" w:rsidR="0070075A" w:rsidRDefault="0070075A" w:rsidP="002A609A">
            <w:pPr>
              <w:pStyle w:val="APDTABLE1"/>
              <w:rPr>
                <w:rFonts w:asciiTheme="majorHAnsi" w:hAnsiTheme="majorHAnsi" w:cstheme="majorHAnsi"/>
              </w:rPr>
            </w:pPr>
          </w:p>
        </w:tc>
        <w:tc>
          <w:tcPr>
            <w:tcW w:w="1800" w:type="dxa"/>
          </w:tcPr>
          <w:p w14:paraId="139615E7" w14:textId="77777777" w:rsidR="0070075A" w:rsidRDefault="0070075A" w:rsidP="002A609A">
            <w:pPr>
              <w:pStyle w:val="APDTABLE1"/>
              <w:rPr>
                <w:rFonts w:asciiTheme="majorHAnsi" w:hAnsiTheme="majorHAnsi" w:cstheme="majorHAnsi"/>
              </w:rPr>
            </w:pPr>
          </w:p>
        </w:tc>
        <w:tc>
          <w:tcPr>
            <w:tcW w:w="1800" w:type="dxa"/>
          </w:tcPr>
          <w:p w14:paraId="7FD30CFD" w14:textId="77777777" w:rsidR="0070075A" w:rsidRDefault="0070075A" w:rsidP="002A609A">
            <w:pPr>
              <w:pStyle w:val="APDTABLE1"/>
              <w:rPr>
                <w:rFonts w:asciiTheme="majorHAnsi" w:hAnsiTheme="majorHAnsi" w:cstheme="majorHAnsi"/>
              </w:rPr>
            </w:pPr>
          </w:p>
        </w:tc>
        <w:tc>
          <w:tcPr>
            <w:tcW w:w="1800" w:type="dxa"/>
          </w:tcPr>
          <w:p w14:paraId="5EA65073" w14:textId="77777777" w:rsidR="0070075A" w:rsidRDefault="0070075A" w:rsidP="002A609A">
            <w:pPr>
              <w:pStyle w:val="APDTABLE1"/>
              <w:rPr>
                <w:rFonts w:asciiTheme="majorHAnsi" w:hAnsiTheme="majorHAnsi" w:cstheme="majorHAnsi"/>
              </w:rPr>
            </w:pPr>
          </w:p>
        </w:tc>
        <w:tc>
          <w:tcPr>
            <w:tcW w:w="1800" w:type="dxa"/>
          </w:tcPr>
          <w:p w14:paraId="2D694670" w14:textId="77777777" w:rsidR="0070075A" w:rsidRDefault="0070075A" w:rsidP="002A609A">
            <w:pPr>
              <w:pStyle w:val="APDTABLE1"/>
              <w:rPr>
                <w:rFonts w:asciiTheme="majorHAnsi" w:hAnsiTheme="majorHAnsi" w:cstheme="majorHAnsi"/>
              </w:rPr>
            </w:pPr>
          </w:p>
        </w:tc>
      </w:tr>
      <w:tr w:rsidR="0070075A" w14:paraId="51F92870" w14:textId="77777777" w:rsidTr="004F4DCD">
        <w:trPr>
          <w:cantSplit/>
          <w:trHeight w:val="331"/>
          <w:tblHeader/>
        </w:trPr>
        <w:tc>
          <w:tcPr>
            <w:tcW w:w="1800" w:type="dxa"/>
          </w:tcPr>
          <w:p w14:paraId="7183E809" w14:textId="77777777" w:rsidR="0070075A" w:rsidRDefault="0070075A" w:rsidP="002A609A">
            <w:pPr>
              <w:pStyle w:val="APDTABLE1"/>
              <w:rPr>
                <w:rFonts w:asciiTheme="majorHAnsi" w:hAnsiTheme="majorHAnsi" w:cstheme="majorHAnsi"/>
              </w:rPr>
            </w:pPr>
          </w:p>
        </w:tc>
        <w:tc>
          <w:tcPr>
            <w:tcW w:w="1800" w:type="dxa"/>
          </w:tcPr>
          <w:p w14:paraId="6C69A07F" w14:textId="77777777" w:rsidR="0070075A" w:rsidRDefault="0070075A" w:rsidP="002A609A">
            <w:pPr>
              <w:pStyle w:val="APDTABLE1"/>
              <w:rPr>
                <w:rFonts w:asciiTheme="majorHAnsi" w:hAnsiTheme="majorHAnsi" w:cstheme="majorHAnsi"/>
              </w:rPr>
            </w:pPr>
          </w:p>
        </w:tc>
        <w:tc>
          <w:tcPr>
            <w:tcW w:w="1800" w:type="dxa"/>
          </w:tcPr>
          <w:p w14:paraId="2B3F1276" w14:textId="77777777" w:rsidR="0070075A" w:rsidRDefault="0070075A" w:rsidP="002A609A">
            <w:pPr>
              <w:pStyle w:val="APDTABLE1"/>
              <w:rPr>
                <w:rFonts w:asciiTheme="majorHAnsi" w:hAnsiTheme="majorHAnsi" w:cstheme="majorHAnsi"/>
              </w:rPr>
            </w:pPr>
          </w:p>
        </w:tc>
        <w:tc>
          <w:tcPr>
            <w:tcW w:w="1800" w:type="dxa"/>
          </w:tcPr>
          <w:p w14:paraId="2DB4091E" w14:textId="77777777" w:rsidR="0070075A" w:rsidRDefault="0070075A" w:rsidP="002A609A">
            <w:pPr>
              <w:pStyle w:val="APDTABLE1"/>
              <w:rPr>
                <w:rFonts w:asciiTheme="majorHAnsi" w:hAnsiTheme="majorHAnsi" w:cstheme="majorHAnsi"/>
              </w:rPr>
            </w:pPr>
          </w:p>
        </w:tc>
        <w:tc>
          <w:tcPr>
            <w:tcW w:w="1800" w:type="dxa"/>
          </w:tcPr>
          <w:p w14:paraId="6ECE8BFA" w14:textId="77777777" w:rsidR="0070075A" w:rsidRDefault="0070075A" w:rsidP="002A609A">
            <w:pPr>
              <w:pStyle w:val="APDTABLE1"/>
              <w:rPr>
                <w:rFonts w:asciiTheme="majorHAnsi" w:hAnsiTheme="majorHAnsi" w:cstheme="majorHAnsi"/>
              </w:rPr>
            </w:pPr>
          </w:p>
        </w:tc>
        <w:tc>
          <w:tcPr>
            <w:tcW w:w="1800" w:type="dxa"/>
          </w:tcPr>
          <w:p w14:paraId="04DCEBFC" w14:textId="77777777" w:rsidR="0070075A" w:rsidRDefault="0070075A" w:rsidP="002A609A">
            <w:pPr>
              <w:pStyle w:val="APDTABLE1"/>
              <w:rPr>
                <w:rFonts w:asciiTheme="majorHAnsi" w:hAnsiTheme="majorHAnsi" w:cstheme="majorHAnsi"/>
              </w:rPr>
            </w:pPr>
          </w:p>
        </w:tc>
        <w:tc>
          <w:tcPr>
            <w:tcW w:w="1800" w:type="dxa"/>
          </w:tcPr>
          <w:p w14:paraId="2A55E742" w14:textId="77777777" w:rsidR="0070075A" w:rsidRDefault="0070075A" w:rsidP="002A609A">
            <w:pPr>
              <w:pStyle w:val="APDTABLE1"/>
              <w:rPr>
                <w:rFonts w:asciiTheme="majorHAnsi" w:hAnsiTheme="majorHAnsi" w:cstheme="majorHAnsi"/>
              </w:rPr>
            </w:pPr>
          </w:p>
        </w:tc>
        <w:tc>
          <w:tcPr>
            <w:tcW w:w="1800" w:type="dxa"/>
          </w:tcPr>
          <w:p w14:paraId="3C95981B" w14:textId="77777777" w:rsidR="0070075A" w:rsidRDefault="0070075A" w:rsidP="002A609A">
            <w:pPr>
              <w:pStyle w:val="APDTABLE1"/>
              <w:rPr>
                <w:rFonts w:asciiTheme="majorHAnsi" w:hAnsiTheme="majorHAnsi" w:cstheme="majorHAnsi"/>
              </w:rPr>
            </w:pPr>
          </w:p>
        </w:tc>
      </w:tr>
      <w:tr w:rsidR="0070075A" w14:paraId="3583A979" w14:textId="77777777" w:rsidTr="004F4DCD">
        <w:trPr>
          <w:cantSplit/>
          <w:trHeight w:val="331"/>
          <w:tblHeader/>
        </w:trPr>
        <w:tc>
          <w:tcPr>
            <w:tcW w:w="1800" w:type="dxa"/>
          </w:tcPr>
          <w:p w14:paraId="5E91285A" w14:textId="77777777" w:rsidR="0070075A" w:rsidRDefault="0070075A" w:rsidP="002A609A">
            <w:pPr>
              <w:pStyle w:val="APDTABLE1"/>
              <w:rPr>
                <w:rFonts w:asciiTheme="majorHAnsi" w:hAnsiTheme="majorHAnsi" w:cstheme="majorHAnsi"/>
              </w:rPr>
            </w:pPr>
          </w:p>
        </w:tc>
        <w:tc>
          <w:tcPr>
            <w:tcW w:w="1800" w:type="dxa"/>
          </w:tcPr>
          <w:p w14:paraId="01C5F278" w14:textId="77777777" w:rsidR="0070075A" w:rsidRDefault="0070075A" w:rsidP="002A609A">
            <w:pPr>
              <w:pStyle w:val="APDTABLE1"/>
              <w:rPr>
                <w:rFonts w:asciiTheme="majorHAnsi" w:hAnsiTheme="majorHAnsi" w:cstheme="majorHAnsi"/>
              </w:rPr>
            </w:pPr>
          </w:p>
        </w:tc>
        <w:tc>
          <w:tcPr>
            <w:tcW w:w="1800" w:type="dxa"/>
          </w:tcPr>
          <w:p w14:paraId="21F39D0B" w14:textId="77777777" w:rsidR="0070075A" w:rsidRDefault="0070075A" w:rsidP="002A609A">
            <w:pPr>
              <w:pStyle w:val="APDTABLE1"/>
              <w:rPr>
                <w:rFonts w:asciiTheme="majorHAnsi" w:hAnsiTheme="majorHAnsi" w:cstheme="majorHAnsi"/>
              </w:rPr>
            </w:pPr>
          </w:p>
        </w:tc>
        <w:tc>
          <w:tcPr>
            <w:tcW w:w="1800" w:type="dxa"/>
          </w:tcPr>
          <w:p w14:paraId="19DC725D" w14:textId="77777777" w:rsidR="0070075A" w:rsidRDefault="0070075A" w:rsidP="002A609A">
            <w:pPr>
              <w:pStyle w:val="APDTABLE1"/>
              <w:rPr>
                <w:rFonts w:asciiTheme="majorHAnsi" w:hAnsiTheme="majorHAnsi" w:cstheme="majorHAnsi"/>
              </w:rPr>
            </w:pPr>
          </w:p>
        </w:tc>
        <w:tc>
          <w:tcPr>
            <w:tcW w:w="1800" w:type="dxa"/>
          </w:tcPr>
          <w:p w14:paraId="391C0937" w14:textId="77777777" w:rsidR="0070075A" w:rsidRDefault="0070075A" w:rsidP="002A609A">
            <w:pPr>
              <w:pStyle w:val="APDTABLE1"/>
              <w:rPr>
                <w:rFonts w:asciiTheme="majorHAnsi" w:hAnsiTheme="majorHAnsi" w:cstheme="majorHAnsi"/>
              </w:rPr>
            </w:pPr>
          </w:p>
        </w:tc>
        <w:tc>
          <w:tcPr>
            <w:tcW w:w="1800" w:type="dxa"/>
          </w:tcPr>
          <w:p w14:paraId="039A5C00" w14:textId="77777777" w:rsidR="0070075A" w:rsidRDefault="0070075A" w:rsidP="002A609A">
            <w:pPr>
              <w:pStyle w:val="APDTABLE1"/>
              <w:rPr>
                <w:rFonts w:asciiTheme="majorHAnsi" w:hAnsiTheme="majorHAnsi" w:cstheme="majorHAnsi"/>
              </w:rPr>
            </w:pPr>
          </w:p>
        </w:tc>
        <w:tc>
          <w:tcPr>
            <w:tcW w:w="1800" w:type="dxa"/>
          </w:tcPr>
          <w:p w14:paraId="53C81762" w14:textId="77777777" w:rsidR="0070075A" w:rsidRDefault="0070075A" w:rsidP="002A609A">
            <w:pPr>
              <w:pStyle w:val="APDTABLE1"/>
              <w:rPr>
                <w:rFonts w:asciiTheme="majorHAnsi" w:hAnsiTheme="majorHAnsi" w:cstheme="majorHAnsi"/>
              </w:rPr>
            </w:pPr>
          </w:p>
        </w:tc>
        <w:tc>
          <w:tcPr>
            <w:tcW w:w="1800" w:type="dxa"/>
          </w:tcPr>
          <w:p w14:paraId="3E35EAF6" w14:textId="77777777" w:rsidR="0070075A" w:rsidRDefault="0070075A" w:rsidP="002A609A">
            <w:pPr>
              <w:pStyle w:val="APDTABLE1"/>
              <w:rPr>
                <w:rFonts w:asciiTheme="majorHAnsi" w:hAnsiTheme="majorHAnsi" w:cstheme="majorHAnsi"/>
              </w:rPr>
            </w:pPr>
          </w:p>
        </w:tc>
      </w:tr>
      <w:tr w:rsidR="0070075A" w14:paraId="45207FB8" w14:textId="77777777" w:rsidTr="004F4DCD">
        <w:trPr>
          <w:cantSplit/>
          <w:trHeight w:val="331"/>
          <w:tblHeader/>
        </w:trPr>
        <w:tc>
          <w:tcPr>
            <w:tcW w:w="1800" w:type="dxa"/>
          </w:tcPr>
          <w:p w14:paraId="17095316" w14:textId="77777777" w:rsidR="0070075A" w:rsidRDefault="0070075A" w:rsidP="002A609A">
            <w:pPr>
              <w:pStyle w:val="APDTABLE1"/>
              <w:rPr>
                <w:rFonts w:asciiTheme="majorHAnsi" w:hAnsiTheme="majorHAnsi" w:cstheme="majorHAnsi"/>
              </w:rPr>
            </w:pPr>
          </w:p>
        </w:tc>
        <w:tc>
          <w:tcPr>
            <w:tcW w:w="1800" w:type="dxa"/>
          </w:tcPr>
          <w:p w14:paraId="5BC53B72" w14:textId="77777777" w:rsidR="0070075A" w:rsidRDefault="0070075A" w:rsidP="002A609A">
            <w:pPr>
              <w:pStyle w:val="APDTABLE1"/>
              <w:rPr>
                <w:rFonts w:asciiTheme="majorHAnsi" w:hAnsiTheme="majorHAnsi" w:cstheme="majorHAnsi"/>
              </w:rPr>
            </w:pPr>
          </w:p>
        </w:tc>
        <w:tc>
          <w:tcPr>
            <w:tcW w:w="1800" w:type="dxa"/>
          </w:tcPr>
          <w:p w14:paraId="3886770E" w14:textId="77777777" w:rsidR="0070075A" w:rsidRDefault="0070075A" w:rsidP="002A609A">
            <w:pPr>
              <w:pStyle w:val="APDTABLE1"/>
              <w:rPr>
                <w:rFonts w:asciiTheme="majorHAnsi" w:hAnsiTheme="majorHAnsi" w:cstheme="majorHAnsi"/>
              </w:rPr>
            </w:pPr>
          </w:p>
        </w:tc>
        <w:tc>
          <w:tcPr>
            <w:tcW w:w="1800" w:type="dxa"/>
          </w:tcPr>
          <w:p w14:paraId="19922A7B" w14:textId="77777777" w:rsidR="0070075A" w:rsidRDefault="0070075A" w:rsidP="002A609A">
            <w:pPr>
              <w:pStyle w:val="APDTABLE1"/>
              <w:rPr>
                <w:rFonts w:asciiTheme="majorHAnsi" w:hAnsiTheme="majorHAnsi" w:cstheme="majorHAnsi"/>
              </w:rPr>
            </w:pPr>
          </w:p>
        </w:tc>
        <w:tc>
          <w:tcPr>
            <w:tcW w:w="1800" w:type="dxa"/>
          </w:tcPr>
          <w:p w14:paraId="177474B9" w14:textId="77777777" w:rsidR="0070075A" w:rsidRDefault="0070075A" w:rsidP="002A609A">
            <w:pPr>
              <w:pStyle w:val="APDTABLE1"/>
              <w:rPr>
                <w:rFonts w:asciiTheme="majorHAnsi" w:hAnsiTheme="majorHAnsi" w:cstheme="majorHAnsi"/>
              </w:rPr>
            </w:pPr>
          </w:p>
        </w:tc>
        <w:tc>
          <w:tcPr>
            <w:tcW w:w="1800" w:type="dxa"/>
          </w:tcPr>
          <w:p w14:paraId="69AE8DFC" w14:textId="77777777" w:rsidR="0070075A" w:rsidRDefault="0070075A" w:rsidP="002A609A">
            <w:pPr>
              <w:pStyle w:val="APDTABLE1"/>
              <w:rPr>
                <w:rFonts w:asciiTheme="majorHAnsi" w:hAnsiTheme="majorHAnsi" w:cstheme="majorHAnsi"/>
              </w:rPr>
            </w:pPr>
          </w:p>
        </w:tc>
        <w:tc>
          <w:tcPr>
            <w:tcW w:w="1800" w:type="dxa"/>
          </w:tcPr>
          <w:p w14:paraId="6889DFE6" w14:textId="77777777" w:rsidR="0070075A" w:rsidRDefault="0070075A" w:rsidP="002A609A">
            <w:pPr>
              <w:pStyle w:val="APDTABLE1"/>
              <w:rPr>
                <w:rFonts w:asciiTheme="majorHAnsi" w:hAnsiTheme="majorHAnsi" w:cstheme="majorHAnsi"/>
              </w:rPr>
            </w:pPr>
          </w:p>
        </w:tc>
        <w:tc>
          <w:tcPr>
            <w:tcW w:w="1800" w:type="dxa"/>
          </w:tcPr>
          <w:p w14:paraId="0C5F7537" w14:textId="77777777" w:rsidR="0070075A" w:rsidRDefault="0070075A" w:rsidP="002A609A">
            <w:pPr>
              <w:pStyle w:val="APDTABLE1"/>
              <w:rPr>
                <w:rFonts w:asciiTheme="majorHAnsi" w:hAnsiTheme="majorHAnsi" w:cstheme="majorHAnsi"/>
              </w:rPr>
            </w:pPr>
          </w:p>
        </w:tc>
      </w:tr>
      <w:tr w:rsidR="0070075A" w14:paraId="161152DD" w14:textId="77777777" w:rsidTr="004F4DCD">
        <w:trPr>
          <w:cantSplit/>
          <w:trHeight w:val="331"/>
          <w:tblHeader/>
        </w:trPr>
        <w:tc>
          <w:tcPr>
            <w:tcW w:w="1800" w:type="dxa"/>
          </w:tcPr>
          <w:p w14:paraId="0AD08D4A" w14:textId="77777777" w:rsidR="0070075A" w:rsidRDefault="0070075A" w:rsidP="002A609A">
            <w:pPr>
              <w:pStyle w:val="APDTABLE1"/>
              <w:rPr>
                <w:rFonts w:asciiTheme="majorHAnsi" w:hAnsiTheme="majorHAnsi" w:cstheme="majorHAnsi"/>
              </w:rPr>
            </w:pPr>
          </w:p>
        </w:tc>
        <w:tc>
          <w:tcPr>
            <w:tcW w:w="1800" w:type="dxa"/>
          </w:tcPr>
          <w:p w14:paraId="7DC90262" w14:textId="77777777" w:rsidR="0070075A" w:rsidRDefault="0070075A" w:rsidP="002A609A">
            <w:pPr>
              <w:pStyle w:val="APDTABLE1"/>
              <w:rPr>
                <w:rFonts w:asciiTheme="majorHAnsi" w:hAnsiTheme="majorHAnsi" w:cstheme="majorHAnsi"/>
              </w:rPr>
            </w:pPr>
          </w:p>
        </w:tc>
        <w:tc>
          <w:tcPr>
            <w:tcW w:w="1800" w:type="dxa"/>
          </w:tcPr>
          <w:p w14:paraId="236D53C7" w14:textId="77777777" w:rsidR="0070075A" w:rsidRDefault="0070075A" w:rsidP="002A609A">
            <w:pPr>
              <w:pStyle w:val="APDTABLE1"/>
              <w:rPr>
                <w:rFonts w:asciiTheme="majorHAnsi" w:hAnsiTheme="majorHAnsi" w:cstheme="majorHAnsi"/>
              </w:rPr>
            </w:pPr>
          </w:p>
        </w:tc>
        <w:tc>
          <w:tcPr>
            <w:tcW w:w="1800" w:type="dxa"/>
          </w:tcPr>
          <w:p w14:paraId="3433BB9B" w14:textId="77777777" w:rsidR="0070075A" w:rsidRDefault="0070075A" w:rsidP="002A609A">
            <w:pPr>
              <w:pStyle w:val="APDTABLE1"/>
              <w:rPr>
                <w:rFonts w:asciiTheme="majorHAnsi" w:hAnsiTheme="majorHAnsi" w:cstheme="majorHAnsi"/>
              </w:rPr>
            </w:pPr>
          </w:p>
        </w:tc>
        <w:tc>
          <w:tcPr>
            <w:tcW w:w="1800" w:type="dxa"/>
          </w:tcPr>
          <w:p w14:paraId="3FB0F9A2" w14:textId="77777777" w:rsidR="0070075A" w:rsidRDefault="0070075A" w:rsidP="002A609A">
            <w:pPr>
              <w:pStyle w:val="APDTABLE1"/>
              <w:rPr>
                <w:rFonts w:asciiTheme="majorHAnsi" w:hAnsiTheme="majorHAnsi" w:cstheme="majorHAnsi"/>
              </w:rPr>
            </w:pPr>
          </w:p>
        </w:tc>
        <w:tc>
          <w:tcPr>
            <w:tcW w:w="1800" w:type="dxa"/>
          </w:tcPr>
          <w:p w14:paraId="03658AE8" w14:textId="77777777" w:rsidR="0070075A" w:rsidRDefault="0070075A" w:rsidP="002A609A">
            <w:pPr>
              <w:pStyle w:val="APDTABLE1"/>
              <w:rPr>
                <w:rFonts w:asciiTheme="majorHAnsi" w:hAnsiTheme="majorHAnsi" w:cstheme="majorHAnsi"/>
              </w:rPr>
            </w:pPr>
          </w:p>
        </w:tc>
        <w:tc>
          <w:tcPr>
            <w:tcW w:w="1800" w:type="dxa"/>
          </w:tcPr>
          <w:p w14:paraId="698E8B98" w14:textId="77777777" w:rsidR="0070075A" w:rsidRDefault="0070075A" w:rsidP="002A609A">
            <w:pPr>
              <w:pStyle w:val="APDTABLE1"/>
              <w:rPr>
                <w:rFonts w:asciiTheme="majorHAnsi" w:hAnsiTheme="majorHAnsi" w:cstheme="majorHAnsi"/>
              </w:rPr>
            </w:pPr>
          </w:p>
        </w:tc>
        <w:tc>
          <w:tcPr>
            <w:tcW w:w="1800" w:type="dxa"/>
          </w:tcPr>
          <w:p w14:paraId="1C8E3198" w14:textId="77777777" w:rsidR="0070075A" w:rsidRDefault="0070075A" w:rsidP="002A609A">
            <w:pPr>
              <w:pStyle w:val="APDTABLE1"/>
              <w:rPr>
                <w:rFonts w:asciiTheme="majorHAnsi" w:hAnsiTheme="majorHAnsi" w:cstheme="majorHAnsi"/>
              </w:rPr>
            </w:pPr>
          </w:p>
        </w:tc>
      </w:tr>
      <w:tr w:rsidR="0070075A" w14:paraId="158059A2" w14:textId="77777777" w:rsidTr="004F4DCD">
        <w:trPr>
          <w:cantSplit/>
          <w:trHeight w:val="331"/>
          <w:tblHeader/>
        </w:trPr>
        <w:tc>
          <w:tcPr>
            <w:tcW w:w="1800" w:type="dxa"/>
          </w:tcPr>
          <w:p w14:paraId="31A49611" w14:textId="77777777" w:rsidR="0070075A" w:rsidRDefault="0070075A" w:rsidP="002A609A">
            <w:pPr>
              <w:pStyle w:val="APDTABLE1"/>
              <w:rPr>
                <w:rFonts w:asciiTheme="majorHAnsi" w:hAnsiTheme="majorHAnsi" w:cstheme="majorHAnsi"/>
              </w:rPr>
            </w:pPr>
          </w:p>
        </w:tc>
        <w:tc>
          <w:tcPr>
            <w:tcW w:w="1800" w:type="dxa"/>
          </w:tcPr>
          <w:p w14:paraId="121DE358" w14:textId="77777777" w:rsidR="0070075A" w:rsidRDefault="0070075A" w:rsidP="002A609A">
            <w:pPr>
              <w:pStyle w:val="APDTABLE1"/>
              <w:rPr>
                <w:rFonts w:asciiTheme="majorHAnsi" w:hAnsiTheme="majorHAnsi" w:cstheme="majorHAnsi"/>
              </w:rPr>
            </w:pPr>
          </w:p>
        </w:tc>
        <w:tc>
          <w:tcPr>
            <w:tcW w:w="1800" w:type="dxa"/>
          </w:tcPr>
          <w:p w14:paraId="1FA7604B" w14:textId="77777777" w:rsidR="0070075A" w:rsidRDefault="0070075A" w:rsidP="002A609A">
            <w:pPr>
              <w:pStyle w:val="APDTABLE1"/>
              <w:rPr>
                <w:rFonts w:asciiTheme="majorHAnsi" w:hAnsiTheme="majorHAnsi" w:cstheme="majorHAnsi"/>
              </w:rPr>
            </w:pPr>
          </w:p>
        </w:tc>
        <w:tc>
          <w:tcPr>
            <w:tcW w:w="1800" w:type="dxa"/>
          </w:tcPr>
          <w:p w14:paraId="7325CEFF" w14:textId="77777777" w:rsidR="0070075A" w:rsidRDefault="0070075A" w:rsidP="002A609A">
            <w:pPr>
              <w:pStyle w:val="APDTABLE1"/>
              <w:rPr>
                <w:rFonts w:asciiTheme="majorHAnsi" w:hAnsiTheme="majorHAnsi" w:cstheme="majorHAnsi"/>
              </w:rPr>
            </w:pPr>
          </w:p>
        </w:tc>
        <w:tc>
          <w:tcPr>
            <w:tcW w:w="1800" w:type="dxa"/>
          </w:tcPr>
          <w:p w14:paraId="0C82FDDB" w14:textId="77777777" w:rsidR="0070075A" w:rsidRDefault="0070075A" w:rsidP="002A609A">
            <w:pPr>
              <w:pStyle w:val="APDTABLE1"/>
              <w:rPr>
                <w:rFonts w:asciiTheme="majorHAnsi" w:hAnsiTheme="majorHAnsi" w:cstheme="majorHAnsi"/>
              </w:rPr>
            </w:pPr>
          </w:p>
        </w:tc>
        <w:tc>
          <w:tcPr>
            <w:tcW w:w="1800" w:type="dxa"/>
          </w:tcPr>
          <w:p w14:paraId="18517FB8" w14:textId="77777777" w:rsidR="0070075A" w:rsidRDefault="0070075A" w:rsidP="002A609A">
            <w:pPr>
              <w:pStyle w:val="APDTABLE1"/>
              <w:rPr>
                <w:rFonts w:asciiTheme="majorHAnsi" w:hAnsiTheme="majorHAnsi" w:cstheme="majorHAnsi"/>
              </w:rPr>
            </w:pPr>
          </w:p>
        </w:tc>
        <w:tc>
          <w:tcPr>
            <w:tcW w:w="1800" w:type="dxa"/>
          </w:tcPr>
          <w:p w14:paraId="099D826D" w14:textId="77777777" w:rsidR="0070075A" w:rsidRDefault="0070075A" w:rsidP="002A609A">
            <w:pPr>
              <w:pStyle w:val="APDTABLE1"/>
              <w:rPr>
                <w:rFonts w:asciiTheme="majorHAnsi" w:hAnsiTheme="majorHAnsi" w:cstheme="majorHAnsi"/>
              </w:rPr>
            </w:pPr>
          </w:p>
        </w:tc>
        <w:tc>
          <w:tcPr>
            <w:tcW w:w="1800" w:type="dxa"/>
          </w:tcPr>
          <w:p w14:paraId="7AA13522" w14:textId="77777777" w:rsidR="0070075A" w:rsidRDefault="0070075A" w:rsidP="002A609A">
            <w:pPr>
              <w:pStyle w:val="APDTABLE1"/>
              <w:rPr>
                <w:rFonts w:asciiTheme="majorHAnsi" w:hAnsiTheme="majorHAnsi" w:cstheme="majorHAnsi"/>
              </w:rPr>
            </w:pPr>
          </w:p>
        </w:tc>
      </w:tr>
      <w:tr w:rsidR="0070075A" w14:paraId="5B801CF3" w14:textId="77777777" w:rsidTr="004F4DCD">
        <w:trPr>
          <w:cantSplit/>
          <w:trHeight w:val="331"/>
          <w:tblHeader/>
        </w:trPr>
        <w:tc>
          <w:tcPr>
            <w:tcW w:w="1800" w:type="dxa"/>
          </w:tcPr>
          <w:p w14:paraId="77FB4E20" w14:textId="77777777" w:rsidR="0070075A" w:rsidRDefault="0070075A" w:rsidP="002A609A">
            <w:pPr>
              <w:pStyle w:val="APDTABLE1"/>
              <w:rPr>
                <w:rFonts w:asciiTheme="majorHAnsi" w:hAnsiTheme="majorHAnsi" w:cstheme="majorHAnsi"/>
              </w:rPr>
            </w:pPr>
          </w:p>
        </w:tc>
        <w:tc>
          <w:tcPr>
            <w:tcW w:w="1800" w:type="dxa"/>
          </w:tcPr>
          <w:p w14:paraId="7EF11D41" w14:textId="77777777" w:rsidR="0070075A" w:rsidRDefault="0070075A" w:rsidP="002A609A">
            <w:pPr>
              <w:pStyle w:val="APDTABLE1"/>
              <w:rPr>
                <w:rFonts w:asciiTheme="majorHAnsi" w:hAnsiTheme="majorHAnsi" w:cstheme="majorHAnsi"/>
              </w:rPr>
            </w:pPr>
          </w:p>
        </w:tc>
        <w:tc>
          <w:tcPr>
            <w:tcW w:w="1800" w:type="dxa"/>
          </w:tcPr>
          <w:p w14:paraId="02FC3BBB" w14:textId="77777777" w:rsidR="0070075A" w:rsidRDefault="0070075A" w:rsidP="002A609A">
            <w:pPr>
              <w:pStyle w:val="APDTABLE1"/>
              <w:rPr>
                <w:rFonts w:asciiTheme="majorHAnsi" w:hAnsiTheme="majorHAnsi" w:cstheme="majorHAnsi"/>
              </w:rPr>
            </w:pPr>
          </w:p>
        </w:tc>
        <w:tc>
          <w:tcPr>
            <w:tcW w:w="1800" w:type="dxa"/>
          </w:tcPr>
          <w:p w14:paraId="218C24D1" w14:textId="77777777" w:rsidR="0070075A" w:rsidRDefault="0070075A" w:rsidP="002A609A">
            <w:pPr>
              <w:pStyle w:val="APDTABLE1"/>
              <w:rPr>
                <w:rFonts w:asciiTheme="majorHAnsi" w:hAnsiTheme="majorHAnsi" w:cstheme="majorHAnsi"/>
              </w:rPr>
            </w:pPr>
          </w:p>
        </w:tc>
        <w:tc>
          <w:tcPr>
            <w:tcW w:w="1800" w:type="dxa"/>
          </w:tcPr>
          <w:p w14:paraId="186D1C07" w14:textId="77777777" w:rsidR="0070075A" w:rsidRDefault="0070075A" w:rsidP="002A609A">
            <w:pPr>
              <w:pStyle w:val="APDTABLE1"/>
              <w:rPr>
                <w:rFonts w:asciiTheme="majorHAnsi" w:hAnsiTheme="majorHAnsi" w:cstheme="majorHAnsi"/>
              </w:rPr>
            </w:pPr>
          </w:p>
        </w:tc>
        <w:tc>
          <w:tcPr>
            <w:tcW w:w="1800" w:type="dxa"/>
          </w:tcPr>
          <w:p w14:paraId="2CD90891" w14:textId="77777777" w:rsidR="0070075A" w:rsidRDefault="0070075A" w:rsidP="002A609A">
            <w:pPr>
              <w:pStyle w:val="APDTABLE1"/>
              <w:rPr>
                <w:rFonts w:asciiTheme="majorHAnsi" w:hAnsiTheme="majorHAnsi" w:cstheme="majorHAnsi"/>
              </w:rPr>
            </w:pPr>
          </w:p>
        </w:tc>
        <w:tc>
          <w:tcPr>
            <w:tcW w:w="1800" w:type="dxa"/>
          </w:tcPr>
          <w:p w14:paraId="1D2A7C38" w14:textId="77777777" w:rsidR="0070075A" w:rsidRDefault="0070075A" w:rsidP="002A609A">
            <w:pPr>
              <w:pStyle w:val="APDTABLE1"/>
              <w:rPr>
                <w:rFonts w:asciiTheme="majorHAnsi" w:hAnsiTheme="majorHAnsi" w:cstheme="majorHAnsi"/>
              </w:rPr>
            </w:pPr>
          </w:p>
        </w:tc>
        <w:tc>
          <w:tcPr>
            <w:tcW w:w="1800" w:type="dxa"/>
          </w:tcPr>
          <w:p w14:paraId="01EC2625" w14:textId="77777777" w:rsidR="0070075A" w:rsidRDefault="0070075A" w:rsidP="002A609A">
            <w:pPr>
              <w:pStyle w:val="APDTABLE1"/>
              <w:rPr>
                <w:rFonts w:asciiTheme="majorHAnsi" w:hAnsiTheme="majorHAnsi" w:cstheme="majorHAnsi"/>
              </w:rPr>
            </w:pPr>
          </w:p>
        </w:tc>
      </w:tr>
      <w:tr w:rsidR="0070075A" w14:paraId="7235586C" w14:textId="77777777" w:rsidTr="004F4DCD">
        <w:trPr>
          <w:cantSplit/>
          <w:trHeight w:val="331"/>
          <w:tblHeader/>
        </w:trPr>
        <w:tc>
          <w:tcPr>
            <w:tcW w:w="1800" w:type="dxa"/>
          </w:tcPr>
          <w:p w14:paraId="5CE3895E" w14:textId="77777777" w:rsidR="0070075A" w:rsidRDefault="0070075A" w:rsidP="002A609A">
            <w:pPr>
              <w:pStyle w:val="APDTABLE1"/>
              <w:rPr>
                <w:rFonts w:asciiTheme="majorHAnsi" w:hAnsiTheme="majorHAnsi" w:cstheme="majorHAnsi"/>
              </w:rPr>
            </w:pPr>
          </w:p>
        </w:tc>
        <w:tc>
          <w:tcPr>
            <w:tcW w:w="1800" w:type="dxa"/>
          </w:tcPr>
          <w:p w14:paraId="2019CBFE" w14:textId="77777777" w:rsidR="0070075A" w:rsidRDefault="0070075A" w:rsidP="002A609A">
            <w:pPr>
              <w:pStyle w:val="APDTABLE1"/>
              <w:rPr>
                <w:rFonts w:asciiTheme="majorHAnsi" w:hAnsiTheme="majorHAnsi" w:cstheme="majorHAnsi"/>
              </w:rPr>
            </w:pPr>
          </w:p>
        </w:tc>
        <w:tc>
          <w:tcPr>
            <w:tcW w:w="1800" w:type="dxa"/>
          </w:tcPr>
          <w:p w14:paraId="18B397E2" w14:textId="77777777" w:rsidR="0070075A" w:rsidRDefault="0070075A" w:rsidP="002A609A">
            <w:pPr>
              <w:pStyle w:val="APDTABLE1"/>
              <w:rPr>
                <w:rFonts w:asciiTheme="majorHAnsi" w:hAnsiTheme="majorHAnsi" w:cstheme="majorHAnsi"/>
              </w:rPr>
            </w:pPr>
          </w:p>
        </w:tc>
        <w:tc>
          <w:tcPr>
            <w:tcW w:w="1800" w:type="dxa"/>
          </w:tcPr>
          <w:p w14:paraId="3CD66CF4" w14:textId="77777777" w:rsidR="0070075A" w:rsidRDefault="0070075A" w:rsidP="002A609A">
            <w:pPr>
              <w:pStyle w:val="APDTABLE1"/>
              <w:rPr>
                <w:rFonts w:asciiTheme="majorHAnsi" w:hAnsiTheme="majorHAnsi" w:cstheme="majorHAnsi"/>
              </w:rPr>
            </w:pPr>
          </w:p>
        </w:tc>
        <w:tc>
          <w:tcPr>
            <w:tcW w:w="1800" w:type="dxa"/>
          </w:tcPr>
          <w:p w14:paraId="091E9ACB" w14:textId="77777777" w:rsidR="0070075A" w:rsidRDefault="0070075A" w:rsidP="002A609A">
            <w:pPr>
              <w:pStyle w:val="APDTABLE1"/>
              <w:rPr>
                <w:rFonts w:asciiTheme="majorHAnsi" w:hAnsiTheme="majorHAnsi" w:cstheme="majorHAnsi"/>
              </w:rPr>
            </w:pPr>
          </w:p>
        </w:tc>
        <w:tc>
          <w:tcPr>
            <w:tcW w:w="1800" w:type="dxa"/>
          </w:tcPr>
          <w:p w14:paraId="76252287" w14:textId="77777777" w:rsidR="0070075A" w:rsidRDefault="0070075A" w:rsidP="002A609A">
            <w:pPr>
              <w:pStyle w:val="APDTABLE1"/>
              <w:rPr>
                <w:rFonts w:asciiTheme="majorHAnsi" w:hAnsiTheme="majorHAnsi" w:cstheme="majorHAnsi"/>
              </w:rPr>
            </w:pPr>
          </w:p>
        </w:tc>
        <w:tc>
          <w:tcPr>
            <w:tcW w:w="1800" w:type="dxa"/>
          </w:tcPr>
          <w:p w14:paraId="09AA8B82" w14:textId="77777777" w:rsidR="0070075A" w:rsidRDefault="0070075A" w:rsidP="002A609A">
            <w:pPr>
              <w:pStyle w:val="APDTABLE1"/>
              <w:rPr>
                <w:rFonts w:asciiTheme="majorHAnsi" w:hAnsiTheme="majorHAnsi" w:cstheme="majorHAnsi"/>
              </w:rPr>
            </w:pPr>
          </w:p>
        </w:tc>
        <w:tc>
          <w:tcPr>
            <w:tcW w:w="1800" w:type="dxa"/>
          </w:tcPr>
          <w:p w14:paraId="6EB6B471" w14:textId="77777777" w:rsidR="0070075A" w:rsidRDefault="0070075A" w:rsidP="002A609A">
            <w:pPr>
              <w:pStyle w:val="APDTABLE1"/>
              <w:rPr>
                <w:rFonts w:asciiTheme="majorHAnsi" w:hAnsiTheme="majorHAnsi" w:cstheme="majorHAnsi"/>
              </w:rPr>
            </w:pPr>
          </w:p>
        </w:tc>
      </w:tr>
      <w:tr w:rsidR="0070075A" w14:paraId="1F3BE2F5" w14:textId="77777777" w:rsidTr="004F4DCD">
        <w:trPr>
          <w:cantSplit/>
          <w:trHeight w:val="331"/>
          <w:tblHeader/>
        </w:trPr>
        <w:tc>
          <w:tcPr>
            <w:tcW w:w="1800" w:type="dxa"/>
          </w:tcPr>
          <w:p w14:paraId="038E0D5E" w14:textId="77777777" w:rsidR="0070075A" w:rsidRDefault="0070075A" w:rsidP="002A609A">
            <w:pPr>
              <w:pStyle w:val="APDTABLE1"/>
              <w:rPr>
                <w:rFonts w:asciiTheme="majorHAnsi" w:hAnsiTheme="majorHAnsi" w:cstheme="majorHAnsi"/>
              </w:rPr>
            </w:pPr>
          </w:p>
        </w:tc>
        <w:tc>
          <w:tcPr>
            <w:tcW w:w="1800" w:type="dxa"/>
          </w:tcPr>
          <w:p w14:paraId="7BA37270" w14:textId="77777777" w:rsidR="0070075A" w:rsidRDefault="0070075A" w:rsidP="002A609A">
            <w:pPr>
              <w:pStyle w:val="APDTABLE1"/>
              <w:rPr>
                <w:rFonts w:asciiTheme="majorHAnsi" w:hAnsiTheme="majorHAnsi" w:cstheme="majorHAnsi"/>
              </w:rPr>
            </w:pPr>
          </w:p>
        </w:tc>
        <w:tc>
          <w:tcPr>
            <w:tcW w:w="1800" w:type="dxa"/>
          </w:tcPr>
          <w:p w14:paraId="486A21BB" w14:textId="77777777" w:rsidR="0070075A" w:rsidRDefault="0070075A" w:rsidP="002A609A">
            <w:pPr>
              <w:pStyle w:val="APDTABLE1"/>
              <w:rPr>
                <w:rFonts w:asciiTheme="majorHAnsi" w:hAnsiTheme="majorHAnsi" w:cstheme="majorHAnsi"/>
              </w:rPr>
            </w:pPr>
          </w:p>
        </w:tc>
        <w:tc>
          <w:tcPr>
            <w:tcW w:w="1800" w:type="dxa"/>
          </w:tcPr>
          <w:p w14:paraId="2A9CE444" w14:textId="77777777" w:rsidR="0070075A" w:rsidRDefault="0070075A" w:rsidP="002A609A">
            <w:pPr>
              <w:pStyle w:val="APDTABLE1"/>
              <w:rPr>
                <w:rFonts w:asciiTheme="majorHAnsi" w:hAnsiTheme="majorHAnsi" w:cstheme="majorHAnsi"/>
              </w:rPr>
            </w:pPr>
          </w:p>
        </w:tc>
        <w:tc>
          <w:tcPr>
            <w:tcW w:w="1800" w:type="dxa"/>
          </w:tcPr>
          <w:p w14:paraId="5FEDDCAB" w14:textId="77777777" w:rsidR="0070075A" w:rsidRDefault="0070075A" w:rsidP="002A609A">
            <w:pPr>
              <w:pStyle w:val="APDTABLE1"/>
              <w:rPr>
                <w:rFonts w:asciiTheme="majorHAnsi" w:hAnsiTheme="majorHAnsi" w:cstheme="majorHAnsi"/>
              </w:rPr>
            </w:pPr>
          </w:p>
        </w:tc>
        <w:tc>
          <w:tcPr>
            <w:tcW w:w="1800" w:type="dxa"/>
          </w:tcPr>
          <w:p w14:paraId="43376F67" w14:textId="77777777" w:rsidR="0070075A" w:rsidRDefault="0070075A" w:rsidP="002A609A">
            <w:pPr>
              <w:pStyle w:val="APDTABLE1"/>
              <w:rPr>
                <w:rFonts w:asciiTheme="majorHAnsi" w:hAnsiTheme="majorHAnsi" w:cstheme="majorHAnsi"/>
              </w:rPr>
            </w:pPr>
          </w:p>
        </w:tc>
        <w:tc>
          <w:tcPr>
            <w:tcW w:w="1800" w:type="dxa"/>
          </w:tcPr>
          <w:p w14:paraId="40B98FBF" w14:textId="77777777" w:rsidR="0070075A" w:rsidRDefault="0070075A" w:rsidP="002A609A">
            <w:pPr>
              <w:pStyle w:val="APDTABLE1"/>
              <w:rPr>
                <w:rFonts w:asciiTheme="majorHAnsi" w:hAnsiTheme="majorHAnsi" w:cstheme="majorHAnsi"/>
              </w:rPr>
            </w:pPr>
          </w:p>
        </w:tc>
        <w:tc>
          <w:tcPr>
            <w:tcW w:w="1800" w:type="dxa"/>
          </w:tcPr>
          <w:p w14:paraId="29CC573F" w14:textId="77777777" w:rsidR="0070075A" w:rsidRDefault="0070075A" w:rsidP="002A609A">
            <w:pPr>
              <w:pStyle w:val="APDTABLE1"/>
              <w:rPr>
                <w:rFonts w:asciiTheme="majorHAnsi" w:hAnsiTheme="majorHAnsi" w:cstheme="majorHAnsi"/>
              </w:rPr>
            </w:pPr>
          </w:p>
        </w:tc>
      </w:tr>
      <w:tr w:rsidR="0070075A" w14:paraId="647D62E7" w14:textId="77777777" w:rsidTr="004F4DCD">
        <w:trPr>
          <w:cantSplit/>
          <w:trHeight w:val="331"/>
          <w:tblHeader/>
        </w:trPr>
        <w:tc>
          <w:tcPr>
            <w:tcW w:w="1800" w:type="dxa"/>
          </w:tcPr>
          <w:p w14:paraId="577E8707" w14:textId="77777777" w:rsidR="0070075A" w:rsidRDefault="0070075A" w:rsidP="002A609A">
            <w:pPr>
              <w:pStyle w:val="APDTABLE1"/>
              <w:rPr>
                <w:rFonts w:asciiTheme="majorHAnsi" w:hAnsiTheme="majorHAnsi" w:cstheme="majorHAnsi"/>
              </w:rPr>
            </w:pPr>
          </w:p>
        </w:tc>
        <w:tc>
          <w:tcPr>
            <w:tcW w:w="1800" w:type="dxa"/>
          </w:tcPr>
          <w:p w14:paraId="2C0EEFF6" w14:textId="77777777" w:rsidR="0070075A" w:rsidRDefault="0070075A" w:rsidP="002A609A">
            <w:pPr>
              <w:pStyle w:val="APDTABLE1"/>
              <w:rPr>
                <w:rFonts w:asciiTheme="majorHAnsi" w:hAnsiTheme="majorHAnsi" w:cstheme="majorHAnsi"/>
              </w:rPr>
            </w:pPr>
          </w:p>
        </w:tc>
        <w:tc>
          <w:tcPr>
            <w:tcW w:w="1800" w:type="dxa"/>
          </w:tcPr>
          <w:p w14:paraId="541870BB" w14:textId="77777777" w:rsidR="0070075A" w:rsidRDefault="0070075A" w:rsidP="002A609A">
            <w:pPr>
              <w:pStyle w:val="APDTABLE1"/>
              <w:rPr>
                <w:rFonts w:asciiTheme="majorHAnsi" w:hAnsiTheme="majorHAnsi" w:cstheme="majorHAnsi"/>
              </w:rPr>
            </w:pPr>
          </w:p>
        </w:tc>
        <w:tc>
          <w:tcPr>
            <w:tcW w:w="1800" w:type="dxa"/>
          </w:tcPr>
          <w:p w14:paraId="48A990E5" w14:textId="77777777" w:rsidR="0070075A" w:rsidRDefault="0070075A" w:rsidP="002A609A">
            <w:pPr>
              <w:pStyle w:val="APDTABLE1"/>
              <w:rPr>
                <w:rFonts w:asciiTheme="majorHAnsi" w:hAnsiTheme="majorHAnsi" w:cstheme="majorHAnsi"/>
              </w:rPr>
            </w:pPr>
          </w:p>
        </w:tc>
        <w:tc>
          <w:tcPr>
            <w:tcW w:w="1800" w:type="dxa"/>
          </w:tcPr>
          <w:p w14:paraId="2C288EAA" w14:textId="77777777" w:rsidR="0070075A" w:rsidRDefault="0070075A" w:rsidP="002A609A">
            <w:pPr>
              <w:pStyle w:val="APDTABLE1"/>
              <w:rPr>
                <w:rFonts w:asciiTheme="majorHAnsi" w:hAnsiTheme="majorHAnsi" w:cstheme="majorHAnsi"/>
              </w:rPr>
            </w:pPr>
          </w:p>
        </w:tc>
        <w:tc>
          <w:tcPr>
            <w:tcW w:w="1800" w:type="dxa"/>
          </w:tcPr>
          <w:p w14:paraId="2AF5D1B2" w14:textId="77777777" w:rsidR="0070075A" w:rsidRDefault="0070075A" w:rsidP="002A609A">
            <w:pPr>
              <w:pStyle w:val="APDTABLE1"/>
              <w:rPr>
                <w:rFonts w:asciiTheme="majorHAnsi" w:hAnsiTheme="majorHAnsi" w:cstheme="majorHAnsi"/>
              </w:rPr>
            </w:pPr>
          </w:p>
        </w:tc>
        <w:tc>
          <w:tcPr>
            <w:tcW w:w="1800" w:type="dxa"/>
          </w:tcPr>
          <w:p w14:paraId="337A6D83" w14:textId="77777777" w:rsidR="0070075A" w:rsidRDefault="0070075A" w:rsidP="002A609A">
            <w:pPr>
              <w:pStyle w:val="APDTABLE1"/>
              <w:rPr>
                <w:rFonts w:asciiTheme="majorHAnsi" w:hAnsiTheme="majorHAnsi" w:cstheme="majorHAnsi"/>
              </w:rPr>
            </w:pPr>
          </w:p>
        </w:tc>
        <w:tc>
          <w:tcPr>
            <w:tcW w:w="1800" w:type="dxa"/>
          </w:tcPr>
          <w:p w14:paraId="7AC7F7E1" w14:textId="77777777" w:rsidR="0070075A" w:rsidRDefault="0070075A" w:rsidP="002A609A">
            <w:pPr>
              <w:pStyle w:val="APDTABLE1"/>
              <w:rPr>
                <w:rFonts w:asciiTheme="majorHAnsi" w:hAnsiTheme="majorHAnsi" w:cstheme="majorHAnsi"/>
              </w:rPr>
            </w:pPr>
          </w:p>
        </w:tc>
      </w:tr>
    </w:tbl>
    <w:p w14:paraId="1CC216F0" w14:textId="77777777" w:rsidR="0070075A" w:rsidRPr="00DC71B0" w:rsidRDefault="0070075A" w:rsidP="002A609A">
      <w:pPr>
        <w:pStyle w:val="APDTABLE1"/>
        <w:rPr>
          <w:rFonts w:asciiTheme="majorHAnsi" w:hAnsiTheme="majorHAnsi" w:cstheme="majorHAnsi"/>
        </w:rPr>
      </w:pPr>
    </w:p>
    <w:p w14:paraId="7B59B5B6" w14:textId="77777777" w:rsidR="00BA02CB" w:rsidRPr="00DC71B0" w:rsidRDefault="00BA02CB" w:rsidP="004F4DCD">
      <w:pPr>
        <w:pStyle w:val="HeadLevel1"/>
        <w:jc w:val="left"/>
      </w:pPr>
      <w:r w:rsidRPr="00DC71B0">
        <w:br w:type="page"/>
      </w:r>
    </w:p>
    <w:p w14:paraId="11515092" w14:textId="77777777" w:rsidR="00002E2D" w:rsidRPr="00DC71B0" w:rsidRDefault="00002E2D" w:rsidP="004E7FAD">
      <w:pPr>
        <w:pStyle w:val="HeadLevel1"/>
        <w:outlineLvl w:val="0"/>
      </w:pPr>
      <w:r w:rsidRPr="00DC71B0">
        <w:lastRenderedPageBreak/>
        <w:t>Process Heater/Furnace Attributes</w:t>
      </w:r>
    </w:p>
    <w:p w14:paraId="778CBC6A" w14:textId="77777777" w:rsidR="00002E2D" w:rsidRPr="00DC71B0" w:rsidRDefault="00002E2D" w:rsidP="004E7FAD">
      <w:pPr>
        <w:pStyle w:val="HeadLevel1"/>
        <w:outlineLvl w:val="0"/>
      </w:pPr>
      <w:r w:rsidRPr="00DC71B0">
        <w:t>Form OP-UA5 (Page 9)</w:t>
      </w:r>
    </w:p>
    <w:p w14:paraId="6D25245E" w14:textId="77777777" w:rsidR="00002E2D" w:rsidRPr="00DC71B0" w:rsidRDefault="00002E2D" w:rsidP="004E7FAD">
      <w:pPr>
        <w:pStyle w:val="HeadLevel1"/>
        <w:outlineLvl w:val="0"/>
      </w:pPr>
      <w:r w:rsidRPr="00DC71B0">
        <w:t>Federal Operating Permit Program</w:t>
      </w:r>
    </w:p>
    <w:p w14:paraId="44F11FB6" w14:textId="77777777" w:rsidR="00002E2D" w:rsidRPr="00DC71B0" w:rsidRDefault="00002E2D" w:rsidP="004E7FAD">
      <w:pPr>
        <w:pStyle w:val="HeadLevel1"/>
        <w:outlineLvl w:val="0"/>
      </w:pPr>
      <w:bookmarkStart w:id="43" w:name="TBL5b"/>
      <w:r w:rsidRPr="00DC71B0">
        <w:t>Table 5b</w:t>
      </w:r>
      <w:bookmarkEnd w:id="43"/>
      <w:r w:rsidRPr="00DC71B0">
        <w:t>: Title 40 Code of Federal Regulations Part 63 (40 CFR Part 63)</w:t>
      </w:r>
    </w:p>
    <w:p w14:paraId="715A62CE" w14:textId="4449928B" w:rsidR="00002E2D" w:rsidRDefault="00002E2D" w:rsidP="004E7FAD">
      <w:pPr>
        <w:pStyle w:val="HeadLevel1"/>
        <w:outlineLvl w:val="0"/>
      </w:pPr>
      <w:r w:rsidRPr="00DC71B0">
        <w:t>Subpart EEE: Hazardous Waste Combustors</w:t>
      </w:r>
    </w:p>
    <w:p w14:paraId="50534876" w14:textId="77777777" w:rsidR="0055640A" w:rsidRPr="00DC71B0" w:rsidRDefault="0055640A" w:rsidP="004E7FAD">
      <w:pPr>
        <w:pStyle w:val="HeadLevel1"/>
        <w:outlineLvl w:val="0"/>
      </w:pPr>
      <w:r w:rsidRPr="00DC71B0">
        <w:t>Texas Commission on Environmental Quality</w:t>
      </w:r>
    </w:p>
    <w:p w14:paraId="338D62EF" w14:textId="77777777" w:rsidR="006C2FB6" w:rsidRDefault="006C2FB6" w:rsidP="000D5197">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40 Code of Federal Regulations Part 63 (40 CFR Part 63)&#10;Subpart EEE: Hazardous Waste Combustors&#10;&#10;&#10;&#10;&#10;&#10;"/>
      </w:tblPr>
      <w:tblGrid>
        <w:gridCol w:w="4800"/>
        <w:gridCol w:w="4800"/>
        <w:gridCol w:w="4800"/>
      </w:tblGrid>
      <w:tr w:rsidR="0093034F" w:rsidRPr="00756A95" w14:paraId="7BA123A6" w14:textId="77777777" w:rsidTr="00F263FF">
        <w:trPr>
          <w:cantSplit/>
          <w:tblHeader/>
        </w:trPr>
        <w:tc>
          <w:tcPr>
            <w:tcW w:w="4800" w:type="dxa"/>
            <w:shd w:val="clear" w:color="auto" w:fill="D9D9D9" w:themeFill="background1" w:themeFillShade="D9"/>
          </w:tcPr>
          <w:p w14:paraId="30D1CE77"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7BEA7914"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6D33E9E7"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5E11D6FE" w14:textId="77777777" w:rsidTr="00F263FF">
        <w:trPr>
          <w:cantSplit/>
          <w:tblHeader/>
        </w:trPr>
        <w:tc>
          <w:tcPr>
            <w:tcW w:w="4800" w:type="dxa"/>
          </w:tcPr>
          <w:p w14:paraId="6FE18453" w14:textId="77777777" w:rsidR="0093034F" w:rsidRDefault="0093034F" w:rsidP="00F263FF">
            <w:pPr>
              <w:rPr>
                <w:rFonts w:asciiTheme="majorHAnsi" w:hAnsiTheme="majorHAnsi" w:cstheme="majorHAnsi"/>
              </w:rPr>
            </w:pPr>
          </w:p>
        </w:tc>
        <w:tc>
          <w:tcPr>
            <w:tcW w:w="4800" w:type="dxa"/>
          </w:tcPr>
          <w:p w14:paraId="399E4915" w14:textId="77777777" w:rsidR="0093034F" w:rsidRDefault="0093034F" w:rsidP="00F263FF">
            <w:pPr>
              <w:rPr>
                <w:rFonts w:asciiTheme="majorHAnsi" w:hAnsiTheme="majorHAnsi" w:cstheme="majorHAnsi"/>
              </w:rPr>
            </w:pPr>
          </w:p>
        </w:tc>
        <w:tc>
          <w:tcPr>
            <w:tcW w:w="4800" w:type="dxa"/>
          </w:tcPr>
          <w:p w14:paraId="086677E2" w14:textId="77777777" w:rsidR="0093034F" w:rsidRDefault="0093034F" w:rsidP="00F263FF">
            <w:pPr>
              <w:rPr>
                <w:rFonts w:asciiTheme="majorHAnsi" w:hAnsiTheme="majorHAnsi" w:cstheme="majorHAnsi"/>
              </w:rPr>
            </w:pPr>
          </w:p>
        </w:tc>
      </w:tr>
    </w:tbl>
    <w:p w14:paraId="2352DD34" w14:textId="16AA7D58" w:rsidR="00BA02CB" w:rsidRDefault="00BA02CB" w:rsidP="002A609A">
      <w:pPr>
        <w:pStyle w:val="APDTABLE1"/>
        <w:rPr>
          <w:rFonts w:asciiTheme="majorHAnsi" w:hAnsiTheme="majorHAnsi" w:cstheme="majorHAnsi"/>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3 (40 CFR Part 63)&#10;Subpart EEE: Hazardous Waste Combustors&#10;"/>
      </w:tblPr>
      <w:tblGrid>
        <w:gridCol w:w="2057"/>
        <w:gridCol w:w="2057"/>
        <w:gridCol w:w="2058"/>
        <w:gridCol w:w="2057"/>
        <w:gridCol w:w="2057"/>
        <w:gridCol w:w="2057"/>
        <w:gridCol w:w="2057"/>
      </w:tblGrid>
      <w:tr w:rsidR="004F4DCD" w14:paraId="570ECDF8" w14:textId="77777777" w:rsidTr="004F4DCD">
        <w:trPr>
          <w:cantSplit/>
          <w:trHeight w:val="331"/>
          <w:tblHeader/>
        </w:trPr>
        <w:tc>
          <w:tcPr>
            <w:tcW w:w="2057" w:type="dxa"/>
            <w:shd w:val="clear" w:color="auto" w:fill="D9D9D9" w:themeFill="background1" w:themeFillShade="D9"/>
            <w:vAlign w:val="center"/>
          </w:tcPr>
          <w:p w14:paraId="71493DD7" w14:textId="36D0A536" w:rsidR="004F4DCD" w:rsidRPr="004F4DCD" w:rsidRDefault="004F4DCD" w:rsidP="004F4DCD">
            <w:pPr>
              <w:pStyle w:val="APDTABLE1"/>
              <w:jc w:val="center"/>
              <w:rPr>
                <w:rFonts w:asciiTheme="majorHAnsi" w:hAnsiTheme="majorHAnsi" w:cstheme="majorHAnsi"/>
                <w:sz w:val="20"/>
                <w:szCs w:val="20"/>
              </w:rPr>
            </w:pPr>
            <w:r w:rsidRPr="004F4DCD">
              <w:rPr>
                <w:sz w:val="20"/>
                <w:szCs w:val="20"/>
              </w:rPr>
              <w:t>Unit ID No.</w:t>
            </w:r>
          </w:p>
        </w:tc>
        <w:tc>
          <w:tcPr>
            <w:tcW w:w="2057" w:type="dxa"/>
            <w:shd w:val="clear" w:color="auto" w:fill="D9D9D9" w:themeFill="background1" w:themeFillShade="D9"/>
            <w:vAlign w:val="center"/>
          </w:tcPr>
          <w:p w14:paraId="21D655C5" w14:textId="7D5EEA2C" w:rsidR="004F4DCD" w:rsidRPr="004F4DCD" w:rsidRDefault="004F4DCD" w:rsidP="004F4DCD">
            <w:pPr>
              <w:pStyle w:val="APDTABLE1"/>
              <w:jc w:val="center"/>
              <w:rPr>
                <w:rFonts w:asciiTheme="majorHAnsi" w:hAnsiTheme="majorHAnsi" w:cstheme="majorHAnsi"/>
                <w:sz w:val="20"/>
                <w:szCs w:val="20"/>
              </w:rPr>
            </w:pPr>
            <w:r w:rsidRPr="004F4DCD">
              <w:rPr>
                <w:sz w:val="20"/>
                <w:szCs w:val="20"/>
              </w:rPr>
              <w:t>SOP/GOP Index No.</w:t>
            </w:r>
          </w:p>
        </w:tc>
        <w:tc>
          <w:tcPr>
            <w:tcW w:w="2058" w:type="dxa"/>
            <w:shd w:val="clear" w:color="auto" w:fill="D9D9D9" w:themeFill="background1" w:themeFillShade="D9"/>
            <w:vAlign w:val="center"/>
          </w:tcPr>
          <w:p w14:paraId="36A5395D" w14:textId="3D4A86DB" w:rsidR="004F4DCD" w:rsidRPr="004F4DCD" w:rsidRDefault="004F4DCD" w:rsidP="004F4DCD">
            <w:pPr>
              <w:pStyle w:val="APDTABLE1"/>
              <w:jc w:val="center"/>
              <w:rPr>
                <w:rFonts w:asciiTheme="majorHAnsi" w:hAnsiTheme="majorHAnsi" w:cstheme="majorHAnsi"/>
                <w:sz w:val="20"/>
                <w:szCs w:val="20"/>
              </w:rPr>
            </w:pPr>
            <w:r w:rsidRPr="004F4DCD">
              <w:rPr>
                <w:sz w:val="20"/>
                <w:szCs w:val="20"/>
              </w:rPr>
              <w:t>Baghouse</w:t>
            </w:r>
          </w:p>
        </w:tc>
        <w:tc>
          <w:tcPr>
            <w:tcW w:w="2057" w:type="dxa"/>
            <w:shd w:val="clear" w:color="auto" w:fill="D9D9D9" w:themeFill="background1" w:themeFillShade="D9"/>
            <w:vAlign w:val="center"/>
          </w:tcPr>
          <w:p w14:paraId="7B96739B" w14:textId="6F24568C" w:rsidR="004F4DCD" w:rsidRPr="004F4DCD" w:rsidRDefault="004F4DCD" w:rsidP="004F4DCD">
            <w:pPr>
              <w:pStyle w:val="APDTABLE1"/>
              <w:jc w:val="center"/>
              <w:rPr>
                <w:rFonts w:asciiTheme="majorHAnsi" w:hAnsiTheme="majorHAnsi" w:cstheme="majorHAnsi"/>
                <w:sz w:val="20"/>
                <w:szCs w:val="20"/>
              </w:rPr>
            </w:pPr>
            <w:r w:rsidRPr="004F4DCD">
              <w:rPr>
                <w:sz w:val="20"/>
                <w:szCs w:val="20"/>
              </w:rPr>
              <w:t>PM Detection</w:t>
            </w:r>
          </w:p>
        </w:tc>
        <w:tc>
          <w:tcPr>
            <w:tcW w:w="2057" w:type="dxa"/>
            <w:shd w:val="clear" w:color="auto" w:fill="D9D9D9" w:themeFill="background1" w:themeFillShade="D9"/>
            <w:vAlign w:val="center"/>
          </w:tcPr>
          <w:p w14:paraId="55DE04CF" w14:textId="601934A4" w:rsidR="004F4DCD" w:rsidRPr="004F4DCD" w:rsidRDefault="004F4DCD" w:rsidP="004F4DCD">
            <w:pPr>
              <w:pStyle w:val="APDTABLE1"/>
              <w:jc w:val="center"/>
              <w:rPr>
                <w:rFonts w:asciiTheme="majorHAnsi" w:hAnsiTheme="majorHAnsi" w:cstheme="majorHAnsi"/>
                <w:sz w:val="20"/>
                <w:szCs w:val="20"/>
              </w:rPr>
            </w:pPr>
            <w:r w:rsidRPr="004F4DCD">
              <w:rPr>
                <w:sz w:val="20"/>
                <w:szCs w:val="20"/>
              </w:rPr>
              <w:t>Dioxin-Listed</w:t>
            </w:r>
          </w:p>
        </w:tc>
        <w:tc>
          <w:tcPr>
            <w:tcW w:w="2057" w:type="dxa"/>
            <w:shd w:val="clear" w:color="auto" w:fill="D9D9D9" w:themeFill="background1" w:themeFillShade="D9"/>
            <w:vAlign w:val="center"/>
          </w:tcPr>
          <w:p w14:paraId="416B4AA6" w14:textId="4205541D" w:rsidR="004F4DCD" w:rsidRPr="004F4DCD" w:rsidRDefault="004F4DCD" w:rsidP="004F4DCD">
            <w:pPr>
              <w:pStyle w:val="APDTABLE1"/>
              <w:jc w:val="center"/>
              <w:rPr>
                <w:rFonts w:asciiTheme="majorHAnsi" w:hAnsiTheme="majorHAnsi" w:cstheme="majorHAnsi"/>
                <w:sz w:val="20"/>
                <w:szCs w:val="20"/>
              </w:rPr>
            </w:pPr>
            <w:r w:rsidRPr="004F4DCD">
              <w:rPr>
                <w:sz w:val="20"/>
                <w:szCs w:val="20"/>
              </w:rPr>
              <w:t>DRE Previous Test</w:t>
            </w:r>
          </w:p>
        </w:tc>
        <w:tc>
          <w:tcPr>
            <w:tcW w:w="2057" w:type="dxa"/>
            <w:shd w:val="clear" w:color="auto" w:fill="D9D9D9" w:themeFill="background1" w:themeFillShade="D9"/>
            <w:vAlign w:val="center"/>
          </w:tcPr>
          <w:p w14:paraId="4C1B86CA" w14:textId="6178C2E3" w:rsidR="004F4DCD" w:rsidRPr="004F4DCD" w:rsidRDefault="004F4DCD" w:rsidP="004F4DCD">
            <w:pPr>
              <w:pStyle w:val="APDTABLE1"/>
              <w:jc w:val="center"/>
              <w:rPr>
                <w:rFonts w:asciiTheme="majorHAnsi" w:hAnsiTheme="majorHAnsi" w:cstheme="majorHAnsi"/>
                <w:sz w:val="20"/>
                <w:szCs w:val="20"/>
              </w:rPr>
            </w:pPr>
            <w:r w:rsidRPr="004F4DCD">
              <w:rPr>
                <w:sz w:val="20"/>
                <w:szCs w:val="20"/>
              </w:rPr>
              <w:t>Feed Zone</w:t>
            </w:r>
          </w:p>
        </w:tc>
      </w:tr>
      <w:tr w:rsidR="004F4DCD" w14:paraId="275A2A29" w14:textId="77777777" w:rsidTr="004F4DCD">
        <w:trPr>
          <w:cantSplit/>
          <w:trHeight w:val="331"/>
          <w:tblHeader/>
        </w:trPr>
        <w:tc>
          <w:tcPr>
            <w:tcW w:w="2057" w:type="dxa"/>
          </w:tcPr>
          <w:p w14:paraId="6E009415" w14:textId="77777777" w:rsidR="004F4DCD" w:rsidRDefault="004F4DCD" w:rsidP="002A609A">
            <w:pPr>
              <w:pStyle w:val="APDTABLE1"/>
              <w:rPr>
                <w:rFonts w:asciiTheme="majorHAnsi" w:hAnsiTheme="majorHAnsi" w:cstheme="majorHAnsi"/>
              </w:rPr>
            </w:pPr>
          </w:p>
        </w:tc>
        <w:tc>
          <w:tcPr>
            <w:tcW w:w="2057" w:type="dxa"/>
          </w:tcPr>
          <w:p w14:paraId="273DE689" w14:textId="77777777" w:rsidR="004F4DCD" w:rsidRDefault="004F4DCD" w:rsidP="002A609A">
            <w:pPr>
              <w:pStyle w:val="APDTABLE1"/>
              <w:rPr>
                <w:rFonts w:asciiTheme="majorHAnsi" w:hAnsiTheme="majorHAnsi" w:cstheme="majorHAnsi"/>
              </w:rPr>
            </w:pPr>
          </w:p>
        </w:tc>
        <w:tc>
          <w:tcPr>
            <w:tcW w:w="2058" w:type="dxa"/>
          </w:tcPr>
          <w:p w14:paraId="0CC1E7D2" w14:textId="77777777" w:rsidR="004F4DCD" w:rsidRDefault="004F4DCD" w:rsidP="002A609A">
            <w:pPr>
              <w:pStyle w:val="APDTABLE1"/>
              <w:rPr>
                <w:rFonts w:asciiTheme="majorHAnsi" w:hAnsiTheme="majorHAnsi" w:cstheme="majorHAnsi"/>
              </w:rPr>
            </w:pPr>
          </w:p>
        </w:tc>
        <w:tc>
          <w:tcPr>
            <w:tcW w:w="2057" w:type="dxa"/>
          </w:tcPr>
          <w:p w14:paraId="05E712CC" w14:textId="77777777" w:rsidR="004F4DCD" w:rsidRDefault="004F4DCD" w:rsidP="002A609A">
            <w:pPr>
              <w:pStyle w:val="APDTABLE1"/>
              <w:rPr>
                <w:rFonts w:asciiTheme="majorHAnsi" w:hAnsiTheme="majorHAnsi" w:cstheme="majorHAnsi"/>
              </w:rPr>
            </w:pPr>
          </w:p>
        </w:tc>
        <w:tc>
          <w:tcPr>
            <w:tcW w:w="2057" w:type="dxa"/>
          </w:tcPr>
          <w:p w14:paraId="0CC8D5BC" w14:textId="77777777" w:rsidR="004F4DCD" w:rsidRDefault="004F4DCD" w:rsidP="002A609A">
            <w:pPr>
              <w:pStyle w:val="APDTABLE1"/>
              <w:rPr>
                <w:rFonts w:asciiTheme="majorHAnsi" w:hAnsiTheme="majorHAnsi" w:cstheme="majorHAnsi"/>
              </w:rPr>
            </w:pPr>
          </w:p>
        </w:tc>
        <w:tc>
          <w:tcPr>
            <w:tcW w:w="2057" w:type="dxa"/>
          </w:tcPr>
          <w:p w14:paraId="0FBC3490" w14:textId="77777777" w:rsidR="004F4DCD" w:rsidRDefault="004F4DCD" w:rsidP="002A609A">
            <w:pPr>
              <w:pStyle w:val="APDTABLE1"/>
              <w:rPr>
                <w:rFonts w:asciiTheme="majorHAnsi" w:hAnsiTheme="majorHAnsi" w:cstheme="majorHAnsi"/>
              </w:rPr>
            </w:pPr>
          </w:p>
        </w:tc>
        <w:tc>
          <w:tcPr>
            <w:tcW w:w="2057" w:type="dxa"/>
          </w:tcPr>
          <w:p w14:paraId="423932AF" w14:textId="77777777" w:rsidR="004F4DCD" w:rsidRDefault="004F4DCD" w:rsidP="002A609A">
            <w:pPr>
              <w:pStyle w:val="APDTABLE1"/>
              <w:rPr>
                <w:rFonts w:asciiTheme="majorHAnsi" w:hAnsiTheme="majorHAnsi" w:cstheme="majorHAnsi"/>
              </w:rPr>
            </w:pPr>
          </w:p>
        </w:tc>
      </w:tr>
      <w:tr w:rsidR="004F4DCD" w14:paraId="0C34220D" w14:textId="77777777" w:rsidTr="004F4DCD">
        <w:trPr>
          <w:cantSplit/>
          <w:trHeight w:val="331"/>
          <w:tblHeader/>
        </w:trPr>
        <w:tc>
          <w:tcPr>
            <w:tcW w:w="2057" w:type="dxa"/>
          </w:tcPr>
          <w:p w14:paraId="49101E6B" w14:textId="77777777" w:rsidR="004F4DCD" w:rsidRDefault="004F4DCD" w:rsidP="002A609A">
            <w:pPr>
              <w:pStyle w:val="APDTABLE1"/>
              <w:rPr>
                <w:rFonts w:asciiTheme="majorHAnsi" w:hAnsiTheme="majorHAnsi" w:cstheme="majorHAnsi"/>
              </w:rPr>
            </w:pPr>
          </w:p>
        </w:tc>
        <w:tc>
          <w:tcPr>
            <w:tcW w:w="2057" w:type="dxa"/>
          </w:tcPr>
          <w:p w14:paraId="0A6BB934" w14:textId="77777777" w:rsidR="004F4DCD" w:rsidRDefault="004F4DCD" w:rsidP="002A609A">
            <w:pPr>
              <w:pStyle w:val="APDTABLE1"/>
              <w:rPr>
                <w:rFonts w:asciiTheme="majorHAnsi" w:hAnsiTheme="majorHAnsi" w:cstheme="majorHAnsi"/>
              </w:rPr>
            </w:pPr>
          </w:p>
        </w:tc>
        <w:tc>
          <w:tcPr>
            <w:tcW w:w="2058" w:type="dxa"/>
          </w:tcPr>
          <w:p w14:paraId="61ACBA8F" w14:textId="77777777" w:rsidR="004F4DCD" w:rsidRDefault="004F4DCD" w:rsidP="002A609A">
            <w:pPr>
              <w:pStyle w:val="APDTABLE1"/>
              <w:rPr>
                <w:rFonts w:asciiTheme="majorHAnsi" w:hAnsiTheme="majorHAnsi" w:cstheme="majorHAnsi"/>
              </w:rPr>
            </w:pPr>
          </w:p>
        </w:tc>
        <w:tc>
          <w:tcPr>
            <w:tcW w:w="2057" w:type="dxa"/>
          </w:tcPr>
          <w:p w14:paraId="3A7DE268" w14:textId="77777777" w:rsidR="004F4DCD" w:rsidRDefault="004F4DCD" w:rsidP="002A609A">
            <w:pPr>
              <w:pStyle w:val="APDTABLE1"/>
              <w:rPr>
                <w:rFonts w:asciiTheme="majorHAnsi" w:hAnsiTheme="majorHAnsi" w:cstheme="majorHAnsi"/>
              </w:rPr>
            </w:pPr>
          </w:p>
        </w:tc>
        <w:tc>
          <w:tcPr>
            <w:tcW w:w="2057" w:type="dxa"/>
          </w:tcPr>
          <w:p w14:paraId="0A637D30" w14:textId="77777777" w:rsidR="004F4DCD" w:rsidRDefault="004F4DCD" w:rsidP="002A609A">
            <w:pPr>
              <w:pStyle w:val="APDTABLE1"/>
              <w:rPr>
                <w:rFonts w:asciiTheme="majorHAnsi" w:hAnsiTheme="majorHAnsi" w:cstheme="majorHAnsi"/>
              </w:rPr>
            </w:pPr>
          </w:p>
        </w:tc>
        <w:tc>
          <w:tcPr>
            <w:tcW w:w="2057" w:type="dxa"/>
          </w:tcPr>
          <w:p w14:paraId="25C63FE7" w14:textId="77777777" w:rsidR="004F4DCD" w:rsidRDefault="004F4DCD" w:rsidP="002A609A">
            <w:pPr>
              <w:pStyle w:val="APDTABLE1"/>
              <w:rPr>
                <w:rFonts w:asciiTheme="majorHAnsi" w:hAnsiTheme="majorHAnsi" w:cstheme="majorHAnsi"/>
              </w:rPr>
            </w:pPr>
          </w:p>
        </w:tc>
        <w:tc>
          <w:tcPr>
            <w:tcW w:w="2057" w:type="dxa"/>
          </w:tcPr>
          <w:p w14:paraId="418E53DD" w14:textId="77777777" w:rsidR="004F4DCD" w:rsidRDefault="004F4DCD" w:rsidP="002A609A">
            <w:pPr>
              <w:pStyle w:val="APDTABLE1"/>
              <w:rPr>
                <w:rFonts w:asciiTheme="majorHAnsi" w:hAnsiTheme="majorHAnsi" w:cstheme="majorHAnsi"/>
              </w:rPr>
            </w:pPr>
          </w:p>
        </w:tc>
      </w:tr>
      <w:tr w:rsidR="004F4DCD" w14:paraId="03F4FA13" w14:textId="77777777" w:rsidTr="004F4DCD">
        <w:trPr>
          <w:cantSplit/>
          <w:trHeight w:val="331"/>
          <w:tblHeader/>
        </w:trPr>
        <w:tc>
          <w:tcPr>
            <w:tcW w:w="2057" w:type="dxa"/>
          </w:tcPr>
          <w:p w14:paraId="470AFB41" w14:textId="77777777" w:rsidR="004F4DCD" w:rsidRDefault="004F4DCD" w:rsidP="002A609A">
            <w:pPr>
              <w:pStyle w:val="APDTABLE1"/>
              <w:rPr>
                <w:rFonts w:asciiTheme="majorHAnsi" w:hAnsiTheme="majorHAnsi" w:cstheme="majorHAnsi"/>
              </w:rPr>
            </w:pPr>
          </w:p>
        </w:tc>
        <w:tc>
          <w:tcPr>
            <w:tcW w:w="2057" w:type="dxa"/>
          </w:tcPr>
          <w:p w14:paraId="0B55BEBD" w14:textId="77777777" w:rsidR="004F4DCD" w:rsidRDefault="004F4DCD" w:rsidP="002A609A">
            <w:pPr>
              <w:pStyle w:val="APDTABLE1"/>
              <w:rPr>
                <w:rFonts w:asciiTheme="majorHAnsi" w:hAnsiTheme="majorHAnsi" w:cstheme="majorHAnsi"/>
              </w:rPr>
            </w:pPr>
          </w:p>
        </w:tc>
        <w:tc>
          <w:tcPr>
            <w:tcW w:w="2058" w:type="dxa"/>
          </w:tcPr>
          <w:p w14:paraId="73830F21" w14:textId="77777777" w:rsidR="004F4DCD" w:rsidRDefault="004F4DCD" w:rsidP="002A609A">
            <w:pPr>
              <w:pStyle w:val="APDTABLE1"/>
              <w:rPr>
                <w:rFonts w:asciiTheme="majorHAnsi" w:hAnsiTheme="majorHAnsi" w:cstheme="majorHAnsi"/>
              </w:rPr>
            </w:pPr>
          </w:p>
        </w:tc>
        <w:tc>
          <w:tcPr>
            <w:tcW w:w="2057" w:type="dxa"/>
          </w:tcPr>
          <w:p w14:paraId="05E86738" w14:textId="77777777" w:rsidR="004F4DCD" w:rsidRDefault="004F4DCD" w:rsidP="002A609A">
            <w:pPr>
              <w:pStyle w:val="APDTABLE1"/>
              <w:rPr>
                <w:rFonts w:asciiTheme="majorHAnsi" w:hAnsiTheme="majorHAnsi" w:cstheme="majorHAnsi"/>
              </w:rPr>
            </w:pPr>
          </w:p>
        </w:tc>
        <w:tc>
          <w:tcPr>
            <w:tcW w:w="2057" w:type="dxa"/>
          </w:tcPr>
          <w:p w14:paraId="3FCC7722" w14:textId="77777777" w:rsidR="004F4DCD" w:rsidRDefault="004F4DCD" w:rsidP="002A609A">
            <w:pPr>
              <w:pStyle w:val="APDTABLE1"/>
              <w:rPr>
                <w:rFonts w:asciiTheme="majorHAnsi" w:hAnsiTheme="majorHAnsi" w:cstheme="majorHAnsi"/>
              </w:rPr>
            </w:pPr>
          </w:p>
        </w:tc>
        <w:tc>
          <w:tcPr>
            <w:tcW w:w="2057" w:type="dxa"/>
          </w:tcPr>
          <w:p w14:paraId="22031823" w14:textId="77777777" w:rsidR="004F4DCD" w:rsidRDefault="004F4DCD" w:rsidP="002A609A">
            <w:pPr>
              <w:pStyle w:val="APDTABLE1"/>
              <w:rPr>
                <w:rFonts w:asciiTheme="majorHAnsi" w:hAnsiTheme="majorHAnsi" w:cstheme="majorHAnsi"/>
              </w:rPr>
            </w:pPr>
          </w:p>
        </w:tc>
        <w:tc>
          <w:tcPr>
            <w:tcW w:w="2057" w:type="dxa"/>
          </w:tcPr>
          <w:p w14:paraId="6BC1C6D0" w14:textId="77777777" w:rsidR="004F4DCD" w:rsidRDefault="004F4DCD" w:rsidP="002A609A">
            <w:pPr>
              <w:pStyle w:val="APDTABLE1"/>
              <w:rPr>
                <w:rFonts w:asciiTheme="majorHAnsi" w:hAnsiTheme="majorHAnsi" w:cstheme="majorHAnsi"/>
              </w:rPr>
            </w:pPr>
          </w:p>
        </w:tc>
      </w:tr>
      <w:tr w:rsidR="004F4DCD" w14:paraId="16D80E1A" w14:textId="77777777" w:rsidTr="004F4DCD">
        <w:trPr>
          <w:cantSplit/>
          <w:trHeight w:val="331"/>
          <w:tblHeader/>
        </w:trPr>
        <w:tc>
          <w:tcPr>
            <w:tcW w:w="2057" w:type="dxa"/>
          </w:tcPr>
          <w:p w14:paraId="682A5C94" w14:textId="77777777" w:rsidR="004F4DCD" w:rsidRDefault="004F4DCD" w:rsidP="002A609A">
            <w:pPr>
              <w:pStyle w:val="APDTABLE1"/>
              <w:rPr>
                <w:rFonts w:asciiTheme="majorHAnsi" w:hAnsiTheme="majorHAnsi" w:cstheme="majorHAnsi"/>
              </w:rPr>
            </w:pPr>
          </w:p>
        </w:tc>
        <w:tc>
          <w:tcPr>
            <w:tcW w:w="2057" w:type="dxa"/>
          </w:tcPr>
          <w:p w14:paraId="3C2E8404" w14:textId="77777777" w:rsidR="004F4DCD" w:rsidRDefault="004F4DCD" w:rsidP="002A609A">
            <w:pPr>
              <w:pStyle w:val="APDTABLE1"/>
              <w:rPr>
                <w:rFonts w:asciiTheme="majorHAnsi" w:hAnsiTheme="majorHAnsi" w:cstheme="majorHAnsi"/>
              </w:rPr>
            </w:pPr>
          </w:p>
        </w:tc>
        <w:tc>
          <w:tcPr>
            <w:tcW w:w="2058" w:type="dxa"/>
          </w:tcPr>
          <w:p w14:paraId="5F8B56A8" w14:textId="77777777" w:rsidR="004F4DCD" w:rsidRDefault="004F4DCD" w:rsidP="002A609A">
            <w:pPr>
              <w:pStyle w:val="APDTABLE1"/>
              <w:rPr>
                <w:rFonts w:asciiTheme="majorHAnsi" w:hAnsiTheme="majorHAnsi" w:cstheme="majorHAnsi"/>
              </w:rPr>
            </w:pPr>
          </w:p>
        </w:tc>
        <w:tc>
          <w:tcPr>
            <w:tcW w:w="2057" w:type="dxa"/>
          </w:tcPr>
          <w:p w14:paraId="7F8856A0" w14:textId="77777777" w:rsidR="004F4DCD" w:rsidRDefault="004F4DCD" w:rsidP="002A609A">
            <w:pPr>
              <w:pStyle w:val="APDTABLE1"/>
              <w:rPr>
                <w:rFonts w:asciiTheme="majorHAnsi" w:hAnsiTheme="majorHAnsi" w:cstheme="majorHAnsi"/>
              </w:rPr>
            </w:pPr>
          </w:p>
        </w:tc>
        <w:tc>
          <w:tcPr>
            <w:tcW w:w="2057" w:type="dxa"/>
          </w:tcPr>
          <w:p w14:paraId="2C703209" w14:textId="77777777" w:rsidR="004F4DCD" w:rsidRDefault="004F4DCD" w:rsidP="002A609A">
            <w:pPr>
              <w:pStyle w:val="APDTABLE1"/>
              <w:rPr>
                <w:rFonts w:asciiTheme="majorHAnsi" w:hAnsiTheme="majorHAnsi" w:cstheme="majorHAnsi"/>
              </w:rPr>
            </w:pPr>
          </w:p>
        </w:tc>
        <w:tc>
          <w:tcPr>
            <w:tcW w:w="2057" w:type="dxa"/>
          </w:tcPr>
          <w:p w14:paraId="673C4B20" w14:textId="77777777" w:rsidR="004F4DCD" w:rsidRDefault="004F4DCD" w:rsidP="002A609A">
            <w:pPr>
              <w:pStyle w:val="APDTABLE1"/>
              <w:rPr>
                <w:rFonts w:asciiTheme="majorHAnsi" w:hAnsiTheme="majorHAnsi" w:cstheme="majorHAnsi"/>
              </w:rPr>
            </w:pPr>
          </w:p>
        </w:tc>
        <w:tc>
          <w:tcPr>
            <w:tcW w:w="2057" w:type="dxa"/>
          </w:tcPr>
          <w:p w14:paraId="0F1AEBE3" w14:textId="77777777" w:rsidR="004F4DCD" w:rsidRDefault="004F4DCD" w:rsidP="002A609A">
            <w:pPr>
              <w:pStyle w:val="APDTABLE1"/>
              <w:rPr>
                <w:rFonts w:asciiTheme="majorHAnsi" w:hAnsiTheme="majorHAnsi" w:cstheme="majorHAnsi"/>
              </w:rPr>
            </w:pPr>
          </w:p>
        </w:tc>
      </w:tr>
      <w:tr w:rsidR="004F4DCD" w14:paraId="55A9E0C1" w14:textId="77777777" w:rsidTr="004F4DCD">
        <w:trPr>
          <w:cantSplit/>
          <w:trHeight w:val="331"/>
          <w:tblHeader/>
        </w:trPr>
        <w:tc>
          <w:tcPr>
            <w:tcW w:w="2057" w:type="dxa"/>
          </w:tcPr>
          <w:p w14:paraId="79A1BC7B" w14:textId="77777777" w:rsidR="004F4DCD" w:rsidRDefault="004F4DCD" w:rsidP="002A609A">
            <w:pPr>
              <w:pStyle w:val="APDTABLE1"/>
              <w:rPr>
                <w:rFonts w:asciiTheme="majorHAnsi" w:hAnsiTheme="majorHAnsi" w:cstheme="majorHAnsi"/>
              </w:rPr>
            </w:pPr>
          </w:p>
        </w:tc>
        <w:tc>
          <w:tcPr>
            <w:tcW w:w="2057" w:type="dxa"/>
          </w:tcPr>
          <w:p w14:paraId="4CC8ADFF" w14:textId="77777777" w:rsidR="004F4DCD" w:rsidRDefault="004F4DCD" w:rsidP="002A609A">
            <w:pPr>
              <w:pStyle w:val="APDTABLE1"/>
              <w:rPr>
                <w:rFonts w:asciiTheme="majorHAnsi" w:hAnsiTheme="majorHAnsi" w:cstheme="majorHAnsi"/>
              </w:rPr>
            </w:pPr>
          </w:p>
        </w:tc>
        <w:tc>
          <w:tcPr>
            <w:tcW w:w="2058" w:type="dxa"/>
          </w:tcPr>
          <w:p w14:paraId="49C7FE75" w14:textId="77777777" w:rsidR="004F4DCD" w:rsidRDefault="004F4DCD" w:rsidP="002A609A">
            <w:pPr>
              <w:pStyle w:val="APDTABLE1"/>
              <w:rPr>
                <w:rFonts w:asciiTheme="majorHAnsi" w:hAnsiTheme="majorHAnsi" w:cstheme="majorHAnsi"/>
              </w:rPr>
            </w:pPr>
          </w:p>
        </w:tc>
        <w:tc>
          <w:tcPr>
            <w:tcW w:w="2057" w:type="dxa"/>
          </w:tcPr>
          <w:p w14:paraId="18799AC9" w14:textId="77777777" w:rsidR="004F4DCD" w:rsidRDefault="004F4DCD" w:rsidP="002A609A">
            <w:pPr>
              <w:pStyle w:val="APDTABLE1"/>
              <w:rPr>
                <w:rFonts w:asciiTheme="majorHAnsi" w:hAnsiTheme="majorHAnsi" w:cstheme="majorHAnsi"/>
              </w:rPr>
            </w:pPr>
          </w:p>
        </w:tc>
        <w:tc>
          <w:tcPr>
            <w:tcW w:w="2057" w:type="dxa"/>
          </w:tcPr>
          <w:p w14:paraId="0C33C10D" w14:textId="77777777" w:rsidR="004F4DCD" w:rsidRDefault="004F4DCD" w:rsidP="002A609A">
            <w:pPr>
              <w:pStyle w:val="APDTABLE1"/>
              <w:rPr>
                <w:rFonts w:asciiTheme="majorHAnsi" w:hAnsiTheme="majorHAnsi" w:cstheme="majorHAnsi"/>
              </w:rPr>
            </w:pPr>
          </w:p>
        </w:tc>
        <w:tc>
          <w:tcPr>
            <w:tcW w:w="2057" w:type="dxa"/>
          </w:tcPr>
          <w:p w14:paraId="3881D3C2" w14:textId="77777777" w:rsidR="004F4DCD" w:rsidRDefault="004F4DCD" w:rsidP="002A609A">
            <w:pPr>
              <w:pStyle w:val="APDTABLE1"/>
              <w:rPr>
                <w:rFonts w:asciiTheme="majorHAnsi" w:hAnsiTheme="majorHAnsi" w:cstheme="majorHAnsi"/>
              </w:rPr>
            </w:pPr>
          </w:p>
        </w:tc>
        <w:tc>
          <w:tcPr>
            <w:tcW w:w="2057" w:type="dxa"/>
          </w:tcPr>
          <w:p w14:paraId="67A5909E" w14:textId="77777777" w:rsidR="004F4DCD" w:rsidRDefault="004F4DCD" w:rsidP="002A609A">
            <w:pPr>
              <w:pStyle w:val="APDTABLE1"/>
              <w:rPr>
                <w:rFonts w:asciiTheme="majorHAnsi" w:hAnsiTheme="majorHAnsi" w:cstheme="majorHAnsi"/>
              </w:rPr>
            </w:pPr>
          </w:p>
        </w:tc>
      </w:tr>
      <w:tr w:rsidR="004F4DCD" w14:paraId="4BEF4569" w14:textId="77777777" w:rsidTr="004F4DCD">
        <w:trPr>
          <w:cantSplit/>
          <w:trHeight w:val="331"/>
          <w:tblHeader/>
        </w:trPr>
        <w:tc>
          <w:tcPr>
            <w:tcW w:w="2057" w:type="dxa"/>
          </w:tcPr>
          <w:p w14:paraId="71202068" w14:textId="77777777" w:rsidR="004F4DCD" w:rsidRDefault="004F4DCD" w:rsidP="002A609A">
            <w:pPr>
              <w:pStyle w:val="APDTABLE1"/>
              <w:rPr>
                <w:rFonts w:asciiTheme="majorHAnsi" w:hAnsiTheme="majorHAnsi" w:cstheme="majorHAnsi"/>
              </w:rPr>
            </w:pPr>
          </w:p>
        </w:tc>
        <w:tc>
          <w:tcPr>
            <w:tcW w:w="2057" w:type="dxa"/>
          </w:tcPr>
          <w:p w14:paraId="78881CE1" w14:textId="77777777" w:rsidR="004F4DCD" w:rsidRDefault="004F4DCD" w:rsidP="002A609A">
            <w:pPr>
              <w:pStyle w:val="APDTABLE1"/>
              <w:rPr>
                <w:rFonts w:asciiTheme="majorHAnsi" w:hAnsiTheme="majorHAnsi" w:cstheme="majorHAnsi"/>
              </w:rPr>
            </w:pPr>
          </w:p>
        </w:tc>
        <w:tc>
          <w:tcPr>
            <w:tcW w:w="2058" w:type="dxa"/>
          </w:tcPr>
          <w:p w14:paraId="18C8E18C" w14:textId="77777777" w:rsidR="004F4DCD" w:rsidRDefault="004F4DCD" w:rsidP="002A609A">
            <w:pPr>
              <w:pStyle w:val="APDTABLE1"/>
              <w:rPr>
                <w:rFonts w:asciiTheme="majorHAnsi" w:hAnsiTheme="majorHAnsi" w:cstheme="majorHAnsi"/>
              </w:rPr>
            </w:pPr>
          </w:p>
        </w:tc>
        <w:tc>
          <w:tcPr>
            <w:tcW w:w="2057" w:type="dxa"/>
          </w:tcPr>
          <w:p w14:paraId="6D816A6F" w14:textId="77777777" w:rsidR="004F4DCD" w:rsidRDefault="004F4DCD" w:rsidP="002A609A">
            <w:pPr>
              <w:pStyle w:val="APDTABLE1"/>
              <w:rPr>
                <w:rFonts w:asciiTheme="majorHAnsi" w:hAnsiTheme="majorHAnsi" w:cstheme="majorHAnsi"/>
              </w:rPr>
            </w:pPr>
          </w:p>
        </w:tc>
        <w:tc>
          <w:tcPr>
            <w:tcW w:w="2057" w:type="dxa"/>
          </w:tcPr>
          <w:p w14:paraId="18DD1578" w14:textId="77777777" w:rsidR="004F4DCD" w:rsidRDefault="004F4DCD" w:rsidP="002A609A">
            <w:pPr>
              <w:pStyle w:val="APDTABLE1"/>
              <w:rPr>
                <w:rFonts w:asciiTheme="majorHAnsi" w:hAnsiTheme="majorHAnsi" w:cstheme="majorHAnsi"/>
              </w:rPr>
            </w:pPr>
          </w:p>
        </w:tc>
        <w:tc>
          <w:tcPr>
            <w:tcW w:w="2057" w:type="dxa"/>
          </w:tcPr>
          <w:p w14:paraId="748D5ADB" w14:textId="77777777" w:rsidR="004F4DCD" w:rsidRDefault="004F4DCD" w:rsidP="002A609A">
            <w:pPr>
              <w:pStyle w:val="APDTABLE1"/>
              <w:rPr>
                <w:rFonts w:asciiTheme="majorHAnsi" w:hAnsiTheme="majorHAnsi" w:cstheme="majorHAnsi"/>
              </w:rPr>
            </w:pPr>
          </w:p>
        </w:tc>
        <w:tc>
          <w:tcPr>
            <w:tcW w:w="2057" w:type="dxa"/>
          </w:tcPr>
          <w:p w14:paraId="6DE38196" w14:textId="77777777" w:rsidR="004F4DCD" w:rsidRDefault="004F4DCD" w:rsidP="002A609A">
            <w:pPr>
              <w:pStyle w:val="APDTABLE1"/>
              <w:rPr>
                <w:rFonts w:asciiTheme="majorHAnsi" w:hAnsiTheme="majorHAnsi" w:cstheme="majorHAnsi"/>
              </w:rPr>
            </w:pPr>
          </w:p>
        </w:tc>
      </w:tr>
      <w:tr w:rsidR="004F4DCD" w14:paraId="459698FE" w14:textId="77777777" w:rsidTr="004F4DCD">
        <w:trPr>
          <w:cantSplit/>
          <w:trHeight w:val="331"/>
          <w:tblHeader/>
        </w:trPr>
        <w:tc>
          <w:tcPr>
            <w:tcW w:w="2057" w:type="dxa"/>
          </w:tcPr>
          <w:p w14:paraId="3546B8F8" w14:textId="77777777" w:rsidR="004F4DCD" w:rsidRDefault="004F4DCD" w:rsidP="002A609A">
            <w:pPr>
              <w:pStyle w:val="APDTABLE1"/>
              <w:rPr>
                <w:rFonts w:asciiTheme="majorHAnsi" w:hAnsiTheme="majorHAnsi" w:cstheme="majorHAnsi"/>
              </w:rPr>
            </w:pPr>
          </w:p>
        </w:tc>
        <w:tc>
          <w:tcPr>
            <w:tcW w:w="2057" w:type="dxa"/>
          </w:tcPr>
          <w:p w14:paraId="7532C42D" w14:textId="77777777" w:rsidR="004F4DCD" w:rsidRDefault="004F4DCD" w:rsidP="002A609A">
            <w:pPr>
              <w:pStyle w:val="APDTABLE1"/>
              <w:rPr>
                <w:rFonts w:asciiTheme="majorHAnsi" w:hAnsiTheme="majorHAnsi" w:cstheme="majorHAnsi"/>
              </w:rPr>
            </w:pPr>
          </w:p>
        </w:tc>
        <w:tc>
          <w:tcPr>
            <w:tcW w:w="2058" w:type="dxa"/>
          </w:tcPr>
          <w:p w14:paraId="379CFA7E" w14:textId="77777777" w:rsidR="004F4DCD" w:rsidRDefault="004F4DCD" w:rsidP="002A609A">
            <w:pPr>
              <w:pStyle w:val="APDTABLE1"/>
              <w:rPr>
                <w:rFonts w:asciiTheme="majorHAnsi" w:hAnsiTheme="majorHAnsi" w:cstheme="majorHAnsi"/>
              </w:rPr>
            </w:pPr>
          </w:p>
        </w:tc>
        <w:tc>
          <w:tcPr>
            <w:tcW w:w="2057" w:type="dxa"/>
          </w:tcPr>
          <w:p w14:paraId="1C428F43" w14:textId="77777777" w:rsidR="004F4DCD" w:rsidRDefault="004F4DCD" w:rsidP="002A609A">
            <w:pPr>
              <w:pStyle w:val="APDTABLE1"/>
              <w:rPr>
                <w:rFonts w:asciiTheme="majorHAnsi" w:hAnsiTheme="majorHAnsi" w:cstheme="majorHAnsi"/>
              </w:rPr>
            </w:pPr>
          </w:p>
        </w:tc>
        <w:tc>
          <w:tcPr>
            <w:tcW w:w="2057" w:type="dxa"/>
          </w:tcPr>
          <w:p w14:paraId="407ECEDD" w14:textId="77777777" w:rsidR="004F4DCD" w:rsidRDefault="004F4DCD" w:rsidP="002A609A">
            <w:pPr>
              <w:pStyle w:val="APDTABLE1"/>
              <w:rPr>
                <w:rFonts w:asciiTheme="majorHAnsi" w:hAnsiTheme="majorHAnsi" w:cstheme="majorHAnsi"/>
              </w:rPr>
            </w:pPr>
          </w:p>
        </w:tc>
        <w:tc>
          <w:tcPr>
            <w:tcW w:w="2057" w:type="dxa"/>
          </w:tcPr>
          <w:p w14:paraId="5BD2BFBD" w14:textId="77777777" w:rsidR="004F4DCD" w:rsidRDefault="004F4DCD" w:rsidP="002A609A">
            <w:pPr>
              <w:pStyle w:val="APDTABLE1"/>
              <w:rPr>
                <w:rFonts w:asciiTheme="majorHAnsi" w:hAnsiTheme="majorHAnsi" w:cstheme="majorHAnsi"/>
              </w:rPr>
            </w:pPr>
          </w:p>
        </w:tc>
        <w:tc>
          <w:tcPr>
            <w:tcW w:w="2057" w:type="dxa"/>
          </w:tcPr>
          <w:p w14:paraId="3F128C21" w14:textId="77777777" w:rsidR="004F4DCD" w:rsidRDefault="004F4DCD" w:rsidP="002A609A">
            <w:pPr>
              <w:pStyle w:val="APDTABLE1"/>
              <w:rPr>
                <w:rFonts w:asciiTheme="majorHAnsi" w:hAnsiTheme="majorHAnsi" w:cstheme="majorHAnsi"/>
              </w:rPr>
            </w:pPr>
          </w:p>
        </w:tc>
      </w:tr>
      <w:tr w:rsidR="004F4DCD" w14:paraId="7C3F74C7" w14:textId="77777777" w:rsidTr="004F4DCD">
        <w:trPr>
          <w:cantSplit/>
          <w:trHeight w:val="331"/>
          <w:tblHeader/>
        </w:trPr>
        <w:tc>
          <w:tcPr>
            <w:tcW w:w="2057" w:type="dxa"/>
          </w:tcPr>
          <w:p w14:paraId="3D781B4B" w14:textId="77777777" w:rsidR="004F4DCD" w:rsidRDefault="004F4DCD" w:rsidP="002A609A">
            <w:pPr>
              <w:pStyle w:val="APDTABLE1"/>
              <w:rPr>
                <w:rFonts w:asciiTheme="majorHAnsi" w:hAnsiTheme="majorHAnsi" w:cstheme="majorHAnsi"/>
              </w:rPr>
            </w:pPr>
          </w:p>
        </w:tc>
        <w:tc>
          <w:tcPr>
            <w:tcW w:w="2057" w:type="dxa"/>
          </w:tcPr>
          <w:p w14:paraId="43BBEFFA" w14:textId="77777777" w:rsidR="004F4DCD" w:rsidRDefault="004F4DCD" w:rsidP="002A609A">
            <w:pPr>
              <w:pStyle w:val="APDTABLE1"/>
              <w:rPr>
                <w:rFonts w:asciiTheme="majorHAnsi" w:hAnsiTheme="majorHAnsi" w:cstheme="majorHAnsi"/>
              </w:rPr>
            </w:pPr>
          </w:p>
        </w:tc>
        <w:tc>
          <w:tcPr>
            <w:tcW w:w="2058" w:type="dxa"/>
          </w:tcPr>
          <w:p w14:paraId="1BF21A98" w14:textId="77777777" w:rsidR="004F4DCD" w:rsidRDefault="004F4DCD" w:rsidP="002A609A">
            <w:pPr>
              <w:pStyle w:val="APDTABLE1"/>
              <w:rPr>
                <w:rFonts w:asciiTheme="majorHAnsi" w:hAnsiTheme="majorHAnsi" w:cstheme="majorHAnsi"/>
              </w:rPr>
            </w:pPr>
          </w:p>
        </w:tc>
        <w:tc>
          <w:tcPr>
            <w:tcW w:w="2057" w:type="dxa"/>
          </w:tcPr>
          <w:p w14:paraId="31F30BB7" w14:textId="77777777" w:rsidR="004F4DCD" w:rsidRDefault="004F4DCD" w:rsidP="002A609A">
            <w:pPr>
              <w:pStyle w:val="APDTABLE1"/>
              <w:rPr>
                <w:rFonts w:asciiTheme="majorHAnsi" w:hAnsiTheme="majorHAnsi" w:cstheme="majorHAnsi"/>
              </w:rPr>
            </w:pPr>
          </w:p>
        </w:tc>
        <w:tc>
          <w:tcPr>
            <w:tcW w:w="2057" w:type="dxa"/>
          </w:tcPr>
          <w:p w14:paraId="541544CB" w14:textId="77777777" w:rsidR="004F4DCD" w:rsidRDefault="004F4DCD" w:rsidP="002A609A">
            <w:pPr>
              <w:pStyle w:val="APDTABLE1"/>
              <w:rPr>
                <w:rFonts w:asciiTheme="majorHAnsi" w:hAnsiTheme="majorHAnsi" w:cstheme="majorHAnsi"/>
              </w:rPr>
            </w:pPr>
          </w:p>
        </w:tc>
        <w:tc>
          <w:tcPr>
            <w:tcW w:w="2057" w:type="dxa"/>
          </w:tcPr>
          <w:p w14:paraId="4EFD0D5E" w14:textId="77777777" w:rsidR="004F4DCD" w:rsidRDefault="004F4DCD" w:rsidP="002A609A">
            <w:pPr>
              <w:pStyle w:val="APDTABLE1"/>
              <w:rPr>
                <w:rFonts w:asciiTheme="majorHAnsi" w:hAnsiTheme="majorHAnsi" w:cstheme="majorHAnsi"/>
              </w:rPr>
            </w:pPr>
          </w:p>
        </w:tc>
        <w:tc>
          <w:tcPr>
            <w:tcW w:w="2057" w:type="dxa"/>
          </w:tcPr>
          <w:p w14:paraId="5CF69F05" w14:textId="77777777" w:rsidR="004F4DCD" w:rsidRDefault="004F4DCD" w:rsidP="002A609A">
            <w:pPr>
              <w:pStyle w:val="APDTABLE1"/>
              <w:rPr>
                <w:rFonts w:asciiTheme="majorHAnsi" w:hAnsiTheme="majorHAnsi" w:cstheme="majorHAnsi"/>
              </w:rPr>
            </w:pPr>
          </w:p>
        </w:tc>
      </w:tr>
      <w:tr w:rsidR="004F4DCD" w14:paraId="3B52D4FB" w14:textId="77777777" w:rsidTr="004F4DCD">
        <w:trPr>
          <w:cantSplit/>
          <w:trHeight w:val="331"/>
          <w:tblHeader/>
        </w:trPr>
        <w:tc>
          <w:tcPr>
            <w:tcW w:w="2057" w:type="dxa"/>
          </w:tcPr>
          <w:p w14:paraId="29700110" w14:textId="77777777" w:rsidR="004F4DCD" w:rsidRDefault="004F4DCD" w:rsidP="002A609A">
            <w:pPr>
              <w:pStyle w:val="APDTABLE1"/>
              <w:rPr>
                <w:rFonts w:asciiTheme="majorHAnsi" w:hAnsiTheme="majorHAnsi" w:cstheme="majorHAnsi"/>
              </w:rPr>
            </w:pPr>
          </w:p>
        </w:tc>
        <w:tc>
          <w:tcPr>
            <w:tcW w:w="2057" w:type="dxa"/>
          </w:tcPr>
          <w:p w14:paraId="48E58593" w14:textId="77777777" w:rsidR="004F4DCD" w:rsidRDefault="004F4DCD" w:rsidP="002A609A">
            <w:pPr>
              <w:pStyle w:val="APDTABLE1"/>
              <w:rPr>
                <w:rFonts w:asciiTheme="majorHAnsi" w:hAnsiTheme="majorHAnsi" w:cstheme="majorHAnsi"/>
              </w:rPr>
            </w:pPr>
          </w:p>
        </w:tc>
        <w:tc>
          <w:tcPr>
            <w:tcW w:w="2058" w:type="dxa"/>
          </w:tcPr>
          <w:p w14:paraId="28422C2D" w14:textId="77777777" w:rsidR="004F4DCD" w:rsidRDefault="004F4DCD" w:rsidP="002A609A">
            <w:pPr>
              <w:pStyle w:val="APDTABLE1"/>
              <w:rPr>
                <w:rFonts w:asciiTheme="majorHAnsi" w:hAnsiTheme="majorHAnsi" w:cstheme="majorHAnsi"/>
              </w:rPr>
            </w:pPr>
          </w:p>
        </w:tc>
        <w:tc>
          <w:tcPr>
            <w:tcW w:w="2057" w:type="dxa"/>
          </w:tcPr>
          <w:p w14:paraId="0DA570AD" w14:textId="77777777" w:rsidR="004F4DCD" w:rsidRDefault="004F4DCD" w:rsidP="002A609A">
            <w:pPr>
              <w:pStyle w:val="APDTABLE1"/>
              <w:rPr>
                <w:rFonts w:asciiTheme="majorHAnsi" w:hAnsiTheme="majorHAnsi" w:cstheme="majorHAnsi"/>
              </w:rPr>
            </w:pPr>
          </w:p>
        </w:tc>
        <w:tc>
          <w:tcPr>
            <w:tcW w:w="2057" w:type="dxa"/>
          </w:tcPr>
          <w:p w14:paraId="1EE0446A" w14:textId="77777777" w:rsidR="004F4DCD" w:rsidRDefault="004F4DCD" w:rsidP="002A609A">
            <w:pPr>
              <w:pStyle w:val="APDTABLE1"/>
              <w:rPr>
                <w:rFonts w:asciiTheme="majorHAnsi" w:hAnsiTheme="majorHAnsi" w:cstheme="majorHAnsi"/>
              </w:rPr>
            </w:pPr>
          </w:p>
        </w:tc>
        <w:tc>
          <w:tcPr>
            <w:tcW w:w="2057" w:type="dxa"/>
          </w:tcPr>
          <w:p w14:paraId="1CAD4664" w14:textId="77777777" w:rsidR="004F4DCD" w:rsidRDefault="004F4DCD" w:rsidP="002A609A">
            <w:pPr>
              <w:pStyle w:val="APDTABLE1"/>
              <w:rPr>
                <w:rFonts w:asciiTheme="majorHAnsi" w:hAnsiTheme="majorHAnsi" w:cstheme="majorHAnsi"/>
              </w:rPr>
            </w:pPr>
          </w:p>
        </w:tc>
        <w:tc>
          <w:tcPr>
            <w:tcW w:w="2057" w:type="dxa"/>
          </w:tcPr>
          <w:p w14:paraId="3E72206D" w14:textId="77777777" w:rsidR="004F4DCD" w:rsidRDefault="004F4DCD" w:rsidP="002A609A">
            <w:pPr>
              <w:pStyle w:val="APDTABLE1"/>
              <w:rPr>
                <w:rFonts w:asciiTheme="majorHAnsi" w:hAnsiTheme="majorHAnsi" w:cstheme="majorHAnsi"/>
              </w:rPr>
            </w:pPr>
          </w:p>
        </w:tc>
      </w:tr>
      <w:tr w:rsidR="004F4DCD" w14:paraId="0B9CD3B4" w14:textId="77777777" w:rsidTr="004F4DCD">
        <w:trPr>
          <w:cantSplit/>
          <w:trHeight w:val="331"/>
          <w:tblHeader/>
        </w:trPr>
        <w:tc>
          <w:tcPr>
            <w:tcW w:w="2057" w:type="dxa"/>
          </w:tcPr>
          <w:p w14:paraId="73C183C9" w14:textId="77777777" w:rsidR="004F4DCD" w:rsidRDefault="004F4DCD" w:rsidP="002A609A">
            <w:pPr>
              <w:pStyle w:val="APDTABLE1"/>
              <w:rPr>
                <w:rFonts w:asciiTheme="majorHAnsi" w:hAnsiTheme="majorHAnsi" w:cstheme="majorHAnsi"/>
              </w:rPr>
            </w:pPr>
          </w:p>
        </w:tc>
        <w:tc>
          <w:tcPr>
            <w:tcW w:w="2057" w:type="dxa"/>
          </w:tcPr>
          <w:p w14:paraId="61E9B7B8" w14:textId="77777777" w:rsidR="004F4DCD" w:rsidRDefault="004F4DCD" w:rsidP="002A609A">
            <w:pPr>
              <w:pStyle w:val="APDTABLE1"/>
              <w:rPr>
                <w:rFonts w:asciiTheme="majorHAnsi" w:hAnsiTheme="majorHAnsi" w:cstheme="majorHAnsi"/>
              </w:rPr>
            </w:pPr>
          </w:p>
        </w:tc>
        <w:tc>
          <w:tcPr>
            <w:tcW w:w="2058" w:type="dxa"/>
          </w:tcPr>
          <w:p w14:paraId="5E39F7DE" w14:textId="77777777" w:rsidR="004F4DCD" w:rsidRDefault="004F4DCD" w:rsidP="002A609A">
            <w:pPr>
              <w:pStyle w:val="APDTABLE1"/>
              <w:rPr>
                <w:rFonts w:asciiTheme="majorHAnsi" w:hAnsiTheme="majorHAnsi" w:cstheme="majorHAnsi"/>
              </w:rPr>
            </w:pPr>
          </w:p>
        </w:tc>
        <w:tc>
          <w:tcPr>
            <w:tcW w:w="2057" w:type="dxa"/>
          </w:tcPr>
          <w:p w14:paraId="70E6DA4F" w14:textId="77777777" w:rsidR="004F4DCD" w:rsidRDefault="004F4DCD" w:rsidP="002A609A">
            <w:pPr>
              <w:pStyle w:val="APDTABLE1"/>
              <w:rPr>
                <w:rFonts w:asciiTheme="majorHAnsi" w:hAnsiTheme="majorHAnsi" w:cstheme="majorHAnsi"/>
              </w:rPr>
            </w:pPr>
          </w:p>
        </w:tc>
        <w:tc>
          <w:tcPr>
            <w:tcW w:w="2057" w:type="dxa"/>
          </w:tcPr>
          <w:p w14:paraId="635200A8" w14:textId="77777777" w:rsidR="004F4DCD" w:rsidRDefault="004F4DCD" w:rsidP="002A609A">
            <w:pPr>
              <w:pStyle w:val="APDTABLE1"/>
              <w:rPr>
                <w:rFonts w:asciiTheme="majorHAnsi" w:hAnsiTheme="majorHAnsi" w:cstheme="majorHAnsi"/>
              </w:rPr>
            </w:pPr>
          </w:p>
        </w:tc>
        <w:tc>
          <w:tcPr>
            <w:tcW w:w="2057" w:type="dxa"/>
          </w:tcPr>
          <w:p w14:paraId="5BF025E4" w14:textId="77777777" w:rsidR="004F4DCD" w:rsidRDefault="004F4DCD" w:rsidP="002A609A">
            <w:pPr>
              <w:pStyle w:val="APDTABLE1"/>
              <w:rPr>
                <w:rFonts w:asciiTheme="majorHAnsi" w:hAnsiTheme="majorHAnsi" w:cstheme="majorHAnsi"/>
              </w:rPr>
            </w:pPr>
          </w:p>
        </w:tc>
        <w:tc>
          <w:tcPr>
            <w:tcW w:w="2057" w:type="dxa"/>
          </w:tcPr>
          <w:p w14:paraId="26EA7525" w14:textId="77777777" w:rsidR="004F4DCD" w:rsidRDefault="004F4DCD" w:rsidP="002A609A">
            <w:pPr>
              <w:pStyle w:val="APDTABLE1"/>
              <w:rPr>
                <w:rFonts w:asciiTheme="majorHAnsi" w:hAnsiTheme="majorHAnsi" w:cstheme="majorHAnsi"/>
              </w:rPr>
            </w:pPr>
          </w:p>
        </w:tc>
      </w:tr>
    </w:tbl>
    <w:p w14:paraId="25975AFC" w14:textId="1FA5912A" w:rsidR="004F4DCD" w:rsidRDefault="004F4DCD" w:rsidP="002A609A">
      <w:pPr>
        <w:pStyle w:val="APDTABLE1"/>
        <w:rPr>
          <w:rFonts w:asciiTheme="majorHAnsi" w:hAnsiTheme="majorHAnsi" w:cstheme="majorHAnsi"/>
        </w:rPr>
      </w:pPr>
    </w:p>
    <w:p w14:paraId="75CC553D" w14:textId="77777777" w:rsidR="00A718F0" w:rsidRDefault="00A718F0" w:rsidP="000D5197">
      <w:pPr>
        <w:spacing w:after="0"/>
        <w:rPr>
          <w:sz w:val="20"/>
          <w:szCs w:val="20"/>
        </w:rPr>
      </w:pPr>
      <w:r>
        <w:rPr>
          <w:sz w:val="20"/>
          <w:szCs w:val="20"/>
        </w:rPr>
        <w:br w:type="page"/>
      </w:r>
    </w:p>
    <w:p w14:paraId="7F48CB8B" w14:textId="77777777" w:rsidR="00A718F0" w:rsidRPr="00DC71B0" w:rsidRDefault="00A718F0" w:rsidP="00641703">
      <w:pPr>
        <w:pStyle w:val="HeadLevel1"/>
        <w:outlineLvl w:val="0"/>
      </w:pPr>
      <w:r w:rsidRPr="00DC71B0">
        <w:lastRenderedPageBreak/>
        <w:t>Process Heater/Furnace Attributes</w:t>
      </w:r>
    </w:p>
    <w:p w14:paraId="26B5A1DD" w14:textId="77777777" w:rsidR="00A718F0" w:rsidRPr="00DC71B0" w:rsidRDefault="00A718F0" w:rsidP="00641703">
      <w:pPr>
        <w:pStyle w:val="HeadLevel1"/>
        <w:outlineLvl w:val="0"/>
      </w:pPr>
      <w:r w:rsidRPr="00DC71B0">
        <w:t xml:space="preserve">Form OP-UA5 (Page </w:t>
      </w:r>
      <w:r>
        <w:t>10</w:t>
      </w:r>
      <w:r w:rsidRPr="00DC71B0">
        <w:t>)</w:t>
      </w:r>
    </w:p>
    <w:p w14:paraId="210F5342" w14:textId="77777777" w:rsidR="00A718F0" w:rsidRPr="00EF0801" w:rsidRDefault="00A718F0" w:rsidP="00641703">
      <w:pPr>
        <w:pStyle w:val="HeadLevel1"/>
        <w:outlineLvl w:val="0"/>
      </w:pPr>
      <w:r w:rsidRPr="00EF0801">
        <w:t>Federal Operating Permit Program</w:t>
      </w:r>
    </w:p>
    <w:p w14:paraId="63F9D8C0" w14:textId="25E1E5A1" w:rsidR="00A718F0" w:rsidRPr="00EF0801" w:rsidRDefault="00A718F0" w:rsidP="00641703">
      <w:pPr>
        <w:pStyle w:val="HeadLevel1"/>
        <w:outlineLvl w:val="0"/>
      </w:pPr>
      <w:bookmarkStart w:id="44" w:name="TBL6a"/>
      <w:r w:rsidRPr="00EF0801">
        <w:t xml:space="preserve">Table </w:t>
      </w:r>
      <w:r w:rsidR="002159C5">
        <w:t>6</w:t>
      </w:r>
      <w:r w:rsidR="00DD4C00">
        <w:t>a</w:t>
      </w:r>
      <w:bookmarkEnd w:id="44"/>
      <w:r w:rsidRPr="00EF0801">
        <w:t>:  Title 40 Code of Federal Regulations Part 63 (40 CFR Part 63)</w:t>
      </w:r>
    </w:p>
    <w:p w14:paraId="02FD2C6C" w14:textId="06EEE10A" w:rsidR="00A718F0" w:rsidRDefault="00A718F0" w:rsidP="00641703">
      <w:pPr>
        <w:pStyle w:val="HeadLevel1"/>
        <w:outlineLvl w:val="0"/>
      </w:pPr>
      <w:r w:rsidRPr="00EF0801">
        <w:t xml:space="preserve">Subchapter </w:t>
      </w:r>
      <w:r>
        <w:t>DDDDD</w:t>
      </w:r>
      <w:r w:rsidRPr="00EF0801">
        <w:t xml:space="preserve">:  </w:t>
      </w:r>
      <w:r w:rsidRPr="00495923">
        <w:t xml:space="preserve">Industrial, Commercial, and </w:t>
      </w:r>
      <w:r w:rsidR="007C0D8B">
        <w:t>Institutional</w:t>
      </w:r>
      <w:r w:rsidR="007C0D8B" w:rsidRPr="00495923">
        <w:t xml:space="preserve"> </w:t>
      </w:r>
      <w:r w:rsidR="00B17066">
        <w:t>Proces</w:t>
      </w:r>
      <w:r w:rsidRPr="00495923">
        <w:t>s</w:t>
      </w:r>
      <w:r w:rsidR="00B17066">
        <w:t xml:space="preserve"> Heaters</w:t>
      </w:r>
    </w:p>
    <w:p w14:paraId="32AC2AEA" w14:textId="77777777" w:rsidR="0055640A" w:rsidRPr="00DC71B0" w:rsidRDefault="0055640A" w:rsidP="00641703">
      <w:pPr>
        <w:pStyle w:val="HeadLevel1"/>
        <w:outlineLvl w:val="0"/>
      </w:pPr>
      <w:r w:rsidRPr="00DC71B0">
        <w:t>Texas Commission on Environmental Quality</w:t>
      </w:r>
    </w:p>
    <w:p w14:paraId="459DE993" w14:textId="77777777" w:rsidR="00A718F0" w:rsidRPr="00EF0801" w:rsidRDefault="00A718F0" w:rsidP="00641703">
      <w:pPr>
        <w:spacing w:before="360" w:after="0"/>
        <w:jc w:val="center"/>
        <w:outlineLv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40 Code of Federal Regulations Part 63 (40 CFR Part 63)&#10;Subchapter DDDDD:  Industrial, Commercial, and Institutional Process Heaters&#10;&#10;&#10;&#10;&#10;&#10;&#10;"/>
      </w:tblPr>
      <w:tblGrid>
        <w:gridCol w:w="4800"/>
        <w:gridCol w:w="4800"/>
        <w:gridCol w:w="4800"/>
      </w:tblGrid>
      <w:tr w:rsidR="0093034F" w:rsidRPr="00756A95" w14:paraId="681DEDEB" w14:textId="77777777" w:rsidTr="00F263FF">
        <w:trPr>
          <w:cantSplit/>
          <w:tblHeader/>
        </w:trPr>
        <w:tc>
          <w:tcPr>
            <w:tcW w:w="4800" w:type="dxa"/>
            <w:shd w:val="clear" w:color="auto" w:fill="D9D9D9" w:themeFill="background1" w:themeFillShade="D9"/>
          </w:tcPr>
          <w:p w14:paraId="53E08866"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67DDA365"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3CD23A93"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2DCA1B1E" w14:textId="77777777" w:rsidTr="00F263FF">
        <w:trPr>
          <w:cantSplit/>
          <w:tblHeader/>
        </w:trPr>
        <w:tc>
          <w:tcPr>
            <w:tcW w:w="4800" w:type="dxa"/>
          </w:tcPr>
          <w:p w14:paraId="5F3D4C60" w14:textId="77777777" w:rsidR="0093034F" w:rsidRDefault="0093034F" w:rsidP="00F263FF">
            <w:pPr>
              <w:rPr>
                <w:rFonts w:asciiTheme="majorHAnsi" w:hAnsiTheme="majorHAnsi" w:cstheme="majorHAnsi"/>
              </w:rPr>
            </w:pPr>
          </w:p>
        </w:tc>
        <w:tc>
          <w:tcPr>
            <w:tcW w:w="4800" w:type="dxa"/>
          </w:tcPr>
          <w:p w14:paraId="4DA7F051" w14:textId="77777777" w:rsidR="0093034F" w:rsidRDefault="0093034F" w:rsidP="00F263FF">
            <w:pPr>
              <w:rPr>
                <w:rFonts w:asciiTheme="majorHAnsi" w:hAnsiTheme="majorHAnsi" w:cstheme="majorHAnsi"/>
              </w:rPr>
            </w:pPr>
          </w:p>
        </w:tc>
        <w:tc>
          <w:tcPr>
            <w:tcW w:w="4800" w:type="dxa"/>
          </w:tcPr>
          <w:p w14:paraId="3EBB2D6A" w14:textId="77777777" w:rsidR="0093034F" w:rsidRDefault="0093034F" w:rsidP="00F263FF">
            <w:pPr>
              <w:rPr>
                <w:rFonts w:asciiTheme="majorHAnsi" w:hAnsiTheme="majorHAnsi" w:cstheme="majorHAnsi"/>
              </w:rPr>
            </w:pPr>
          </w:p>
        </w:tc>
      </w:tr>
    </w:tbl>
    <w:p w14:paraId="7939A996" w14:textId="09D3185E" w:rsidR="00A718F0" w:rsidRDefault="00A718F0" w:rsidP="000D5197">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chapter DDDDD:  Industrial, Commercial, and Institutional Process Heaters&#10;"/>
      </w:tblPr>
      <w:tblGrid>
        <w:gridCol w:w="2399"/>
        <w:gridCol w:w="2399"/>
        <w:gridCol w:w="2400"/>
        <w:gridCol w:w="2400"/>
        <w:gridCol w:w="2401"/>
        <w:gridCol w:w="2401"/>
      </w:tblGrid>
      <w:tr w:rsidR="005146F6" w14:paraId="62412823" w14:textId="77777777" w:rsidTr="007D197C">
        <w:trPr>
          <w:cantSplit/>
          <w:trHeight w:val="346"/>
          <w:tblHeader/>
        </w:trPr>
        <w:tc>
          <w:tcPr>
            <w:tcW w:w="2399" w:type="dxa"/>
            <w:shd w:val="clear" w:color="auto" w:fill="D9D9D9" w:themeFill="background1" w:themeFillShade="D9"/>
            <w:vAlign w:val="center"/>
          </w:tcPr>
          <w:p w14:paraId="5A31F76C" w14:textId="42E7B79A" w:rsidR="005146F6" w:rsidRPr="005146F6" w:rsidRDefault="005146F6" w:rsidP="005146F6">
            <w:pPr>
              <w:jc w:val="center"/>
              <w:rPr>
                <w:b/>
                <w:bCs/>
                <w:sz w:val="20"/>
                <w:szCs w:val="20"/>
              </w:rPr>
            </w:pPr>
            <w:r w:rsidRPr="005146F6">
              <w:rPr>
                <w:b/>
                <w:bCs/>
                <w:sz w:val="20"/>
                <w:szCs w:val="20"/>
              </w:rPr>
              <w:t>Unit ID No.</w:t>
            </w:r>
          </w:p>
        </w:tc>
        <w:tc>
          <w:tcPr>
            <w:tcW w:w="2399" w:type="dxa"/>
            <w:shd w:val="clear" w:color="auto" w:fill="D9D9D9" w:themeFill="background1" w:themeFillShade="D9"/>
            <w:vAlign w:val="center"/>
          </w:tcPr>
          <w:p w14:paraId="49EDD60E" w14:textId="4E7B6E41" w:rsidR="005146F6" w:rsidRPr="005146F6" w:rsidRDefault="005146F6" w:rsidP="005146F6">
            <w:pPr>
              <w:jc w:val="center"/>
              <w:rPr>
                <w:b/>
                <w:bCs/>
                <w:sz w:val="20"/>
                <w:szCs w:val="20"/>
              </w:rPr>
            </w:pPr>
            <w:r w:rsidRPr="005146F6">
              <w:rPr>
                <w:b/>
                <w:bCs/>
                <w:sz w:val="20"/>
                <w:szCs w:val="20"/>
              </w:rPr>
              <w:t>SOP/GOP Index No.</w:t>
            </w:r>
          </w:p>
        </w:tc>
        <w:tc>
          <w:tcPr>
            <w:tcW w:w="2400" w:type="dxa"/>
            <w:shd w:val="clear" w:color="auto" w:fill="D9D9D9" w:themeFill="background1" w:themeFillShade="D9"/>
            <w:vAlign w:val="center"/>
          </w:tcPr>
          <w:p w14:paraId="4439BF89" w14:textId="70418F3F" w:rsidR="005146F6" w:rsidRPr="005146F6" w:rsidRDefault="005146F6" w:rsidP="005146F6">
            <w:pPr>
              <w:jc w:val="center"/>
              <w:rPr>
                <w:b/>
                <w:bCs/>
                <w:sz w:val="20"/>
                <w:szCs w:val="20"/>
              </w:rPr>
            </w:pPr>
            <w:r w:rsidRPr="005146F6">
              <w:rPr>
                <w:b/>
                <w:bCs/>
                <w:sz w:val="20"/>
                <w:szCs w:val="20"/>
              </w:rPr>
              <w:t>Commence</w:t>
            </w:r>
          </w:p>
        </w:tc>
        <w:tc>
          <w:tcPr>
            <w:tcW w:w="2400" w:type="dxa"/>
            <w:shd w:val="clear" w:color="auto" w:fill="D9D9D9" w:themeFill="background1" w:themeFillShade="D9"/>
            <w:vAlign w:val="center"/>
          </w:tcPr>
          <w:p w14:paraId="7675CC8C" w14:textId="1E2169B6" w:rsidR="005146F6" w:rsidRPr="005146F6" w:rsidRDefault="005146F6" w:rsidP="005146F6">
            <w:pPr>
              <w:jc w:val="center"/>
              <w:rPr>
                <w:b/>
                <w:bCs/>
                <w:sz w:val="20"/>
                <w:szCs w:val="20"/>
              </w:rPr>
            </w:pPr>
            <w:r w:rsidRPr="005146F6">
              <w:rPr>
                <w:b/>
                <w:bCs/>
                <w:sz w:val="20"/>
                <w:szCs w:val="20"/>
              </w:rPr>
              <w:t>Table Applicability</w:t>
            </w:r>
          </w:p>
        </w:tc>
        <w:tc>
          <w:tcPr>
            <w:tcW w:w="2401" w:type="dxa"/>
            <w:shd w:val="clear" w:color="auto" w:fill="D9D9D9" w:themeFill="background1" w:themeFillShade="D9"/>
            <w:vAlign w:val="center"/>
          </w:tcPr>
          <w:p w14:paraId="203518A3" w14:textId="02E12E7B" w:rsidR="005146F6" w:rsidRPr="005146F6" w:rsidRDefault="005146F6" w:rsidP="005146F6">
            <w:pPr>
              <w:jc w:val="center"/>
              <w:rPr>
                <w:b/>
                <w:bCs/>
                <w:sz w:val="20"/>
                <w:szCs w:val="20"/>
              </w:rPr>
            </w:pPr>
            <w:r w:rsidRPr="005146F6">
              <w:rPr>
                <w:b/>
                <w:bCs/>
                <w:sz w:val="20"/>
                <w:szCs w:val="20"/>
              </w:rPr>
              <w:t>HCl Emission</w:t>
            </w:r>
          </w:p>
        </w:tc>
        <w:tc>
          <w:tcPr>
            <w:tcW w:w="2401" w:type="dxa"/>
            <w:shd w:val="clear" w:color="auto" w:fill="D9D9D9" w:themeFill="background1" w:themeFillShade="D9"/>
            <w:vAlign w:val="center"/>
          </w:tcPr>
          <w:p w14:paraId="2FFEEFC5" w14:textId="13C0E37A" w:rsidR="005146F6" w:rsidRPr="005146F6" w:rsidRDefault="005146F6" w:rsidP="005146F6">
            <w:pPr>
              <w:jc w:val="center"/>
              <w:rPr>
                <w:b/>
                <w:bCs/>
                <w:sz w:val="20"/>
                <w:szCs w:val="20"/>
              </w:rPr>
            </w:pPr>
            <w:r w:rsidRPr="005146F6">
              <w:rPr>
                <w:b/>
                <w:bCs/>
                <w:sz w:val="20"/>
                <w:szCs w:val="20"/>
              </w:rPr>
              <w:t>HCl-CMS</w:t>
            </w:r>
          </w:p>
        </w:tc>
      </w:tr>
      <w:tr w:rsidR="005146F6" w14:paraId="3873DD79" w14:textId="77777777" w:rsidTr="007D197C">
        <w:trPr>
          <w:cantSplit/>
          <w:trHeight w:val="346"/>
          <w:tblHeader/>
        </w:trPr>
        <w:tc>
          <w:tcPr>
            <w:tcW w:w="2399" w:type="dxa"/>
          </w:tcPr>
          <w:p w14:paraId="78ADC32B" w14:textId="77777777" w:rsidR="005146F6" w:rsidRDefault="005146F6" w:rsidP="000D5197"/>
        </w:tc>
        <w:tc>
          <w:tcPr>
            <w:tcW w:w="2399" w:type="dxa"/>
          </w:tcPr>
          <w:p w14:paraId="3D253D82" w14:textId="77777777" w:rsidR="005146F6" w:rsidRDefault="005146F6" w:rsidP="000D5197"/>
        </w:tc>
        <w:tc>
          <w:tcPr>
            <w:tcW w:w="2400" w:type="dxa"/>
          </w:tcPr>
          <w:p w14:paraId="58B58BDA" w14:textId="77777777" w:rsidR="005146F6" w:rsidRDefault="005146F6" w:rsidP="000D5197"/>
        </w:tc>
        <w:tc>
          <w:tcPr>
            <w:tcW w:w="2400" w:type="dxa"/>
          </w:tcPr>
          <w:p w14:paraId="47C30C0D" w14:textId="77777777" w:rsidR="005146F6" w:rsidRDefault="005146F6" w:rsidP="000D5197"/>
        </w:tc>
        <w:tc>
          <w:tcPr>
            <w:tcW w:w="2401" w:type="dxa"/>
          </w:tcPr>
          <w:p w14:paraId="20B2311B" w14:textId="77777777" w:rsidR="005146F6" w:rsidRDefault="005146F6" w:rsidP="000D5197"/>
        </w:tc>
        <w:tc>
          <w:tcPr>
            <w:tcW w:w="2401" w:type="dxa"/>
          </w:tcPr>
          <w:p w14:paraId="6F129F3D" w14:textId="77777777" w:rsidR="005146F6" w:rsidRDefault="005146F6" w:rsidP="000D5197"/>
        </w:tc>
      </w:tr>
      <w:tr w:rsidR="005146F6" w14:paraId="1A577158" w14:textId="77777777" w:rsidTr="007D197C">
        <w:trPr>
          <w:cantSplit/>
          <w:trHeight w:val="346"/>
          <w:tblHeader/>
        </w:trPr>
        <w:tc>
          <w:tcPr>
            <w:tcW w:w="2399" w:type="dxa"/>
          </w:tcPr>
          <w:p w14:paraId="50043D9A" w14:textId="77777777" w:rsidR="005146F6" w:rsidRDefault="005146F6" w:rsidP="000D5197"/>
        </w:tc>
        <w:tc>
          <w:tcPr>
            <w:tcW w:w="2399" w:type="dxa"/>
          </w:tcPr>
          <w:p w14:paraId="4DBC2432" w14:textId="77777777" w:rsidR="005146F6" w:rsidRDefault="005146F6" w:rsidP="000D5197"/>
        </w:tc>
        <w:tc>
          <w:tcPr>
            <w:tcW w:w="2400" w:type="dxa"/>
          </w:tcPr>
          <w:p w14:paraId="45C5778B" w14:textId="77777777" w:rsidR="005146F6" w:rsidRDefault="005146F6" w:rsidP="000D5197"/>
        </w:tc>
        <w:tc>
          <w:tcPr>
            <w:tcW w:w="2400" w:type="dxa"/>
          </w:tcPr>
          <w:p w14:paraId="4387E01E" w14:textId="77777777" w:rsidR="005146F6" w:rsidRDefault="005146F6" w:rsidP="000D5197"/>
        </w:tc>
        <w:tc>
          <w:tcPr>
            <w:tcW w:w="2401" w:type="dxa"/>
          </w:tcPr>
          <w:p w14:paraId="4EADC9D2" w14:textId="77777777" w:rsidR="005146F6" w:rsidRDefault="005146F6" w:rsidP="000D5197"/>
        </w:tc>
        <w:tc>
          <w:tcPr>
            <w:tcW w:w="2401" w:type="dxa"/>
          </w:tcPr>
          <w:p w14:paraId="7C245ED8" w14:textId="77777777" w:rsidR="005146F6" w:rsidRDefault="005146F6" w:rsidP="000D5197"/>
        </w:tc>
      </w:tr>
      <w:tr w:rsidR="005146F6" w14:paraId="3C579D82" w14:textId="77777777" w:rsidTr="007D197C">
        <w:trPr>
          <w:cantSplit/>
          <w:trHeight w:val="346"/>
          <w:tblHeader/>
        </w:trPr>
        <w:tc>
          <w:tcPr>
            <w:tcW w:w="2399" w:type="dxa"/>
          </w:tcPr>
          <w:p w14:paraId="27A3ED99" w14:textId="77777777" w:rsidR="005146F6" w:rsidRDefault="005146F6" w:rsidP="000D5197"/>
        </w:tc>
        <w:tc>
          <w:tcPr>
            <w:tcW w:w="2399" w:type="dxa"/>
          </w:tcPr>
          <w:p w14:paraId="56DEDC00" w14:textId="77777777" w:rsidR="005146F6" w:rsidRDefault="005146F6" w:rsidP="000D5197"/>
        </w:tc>
        <w:tc>
          <w:tcPr>
            <w:tcW w:w="2400" w:type="dxa"/>
          </w:tcPr>
          <w:p w14:paraId="3EAAC889" w14:textId="77777777" w:rsidR="005146F6" w:rsidRDefault="005146F6" w:rsidP="000D5197"/>
        </w:tc>
        <w:tc>
          <w:tcPr>
            <w:tcW w:w="2400" w:type="dxa"/>
          </w:tcPr>
          <w:p w14:paraId="38DC161F" w14:textId="77777777" w:rsidR="005146F6" w:rsidRDefault="005146F6" w:rsidP="000D5197"/>
        </w:tc>
        <w:tc>
          <w:tcPr>
            <w:tcW w:w="2401" w:type="dxa"/>
          </w:tcPr>
          <w:p w14:paraId="6E4981BE" w14:textId="77777777" w:rsidR="005146F6" w:rsidRDefault="005146F6" w:rsidP="000D5197"/>
        </w:tc>
        <w:tc>
          <w:tcPr>
            <w:tcW w:w="2401" w:type="dxa"/>
          </w:tcPr>
          <w:p w14:paraId="1503581A" w14:textId="77777777" w:rsidR="005146F6" w:rsidRDefault="005146F6" w:rsidP="000D5197"/>
        </w:tc>
      </w:tr>
      <w:tr w:rsidR="005146F6" w14:paraId="57215FEC" w14:textId="77777777" w:rsidTr="007D197C">
        <w:trPr>
          <w:cantSplit/>
          <w:trHeight w:val="346"/>
          <w:tblHeader/>
        </w:trPr>
        <w:tc>
          <w:tcPr>
            <w:tcW w:w="2399" w:type="dxa"/>
          </w:tcPr>
          <w:p w14:paraId="084269AF" w14:textId="77777777" w:rsidR="005146F6" w:rsidRDefault="005146F6" w:rsidP="000D5197"/>
        </w:tc>
        <w:tc>
          <w:tcPr>
            <w:tcW w:w="2399" w:type="dxa"/>
          </w:tcPr>
          <w:p w14:paraId="76DD0FCD" w14:textId="77777777" w:rsidR="005146F6" w:rsidRDefault="005146F6" w:rsidP="000D5197"/>
        </w:tc>
        <w:tc>
          <w:tcPr>
            <w:tcW w:w="2400" w:type="dxa"/>
          </w:tcPr>
          <w:p w14:paraId="19B41247" w14:textId="77777777" w:rsidR="005146F6" w:rsidRDefault="005146F6" w:rsidP="000D5197"/>
        </w:tc>
        <w:tc>
          <w:tcPr>
            <w:tcW w:w="2400" w:type="dxa"/>
          </w:tcPr>
          <w:p w14:paraId="2C2DE95D" w14:textId="77777777" w:rsidR="005146F6" w:rsidRDefault="005146F6" w:rsidP="000D5197"/>
        </w:tc>
        <w:tc>
          <w:tcPr>
            <w:tcW w:w="2401" w:type="dxa"/>
          </w:tcPr>
          <w:p w14:paraId="785E57C5" w14:textId="77777777" w:rsidR="005146F6" w:rsidRDefault="005146F6" w:rsidP="000D5197"/>
        </w:tc>
        <w:tc>
          <w:tcPr>
            <w:tcW w:w="2401" w:type="dxa"/>
          </w:tcPr>
          <w:p w14:paraId="565A093D" w14:textId="77777777" w:rsidR="005146F6" w:rsidRDefault="005146F6" w:rsidP="000D5197"/>
        </w:tc>
      </w:tr>
      <w:tr w:rsidR="005146F6" w14:paraId="70FA7FB9" w14:textId="77777777" w:rsidTr="007D197C">
        <w:trPr>
          <w:cantSplit/>
          <w:trHeight w:val="346"/>
          <w:tblHeader/>
        </w:trPr>
        <w:tc>
          <w:tcPr>
            <w:tcW w:w="2399" w:type="dxa"/>
          </w:tcPr>
          <w:p w14:paraId="3669B6C1" w14:textId="77777777" w:rsidR="005146F6" w:rsidRDefault="005146F6" w:rsidP="000D5197"/>
        </w:tc>
        <w:tc>
          <w:tcPr>
            <w:tcW w:w="2399" w:type="dxa"/>
          </w:tcPr>
          <w:p w14:paraId="1094D1AC" w14:textId="77777777" w:rsidR="005146F6" w:rsidRDefault="005146F6" w:rsidP="000D5197"/>
        </w:tc>
        <w:tc>
          <w:tcPr>
            <w:tcW w:w="2400" w:type="dxa"/>
          </w:tcPr>
          <w:p w14:paraId="383C78DE" w14:textId="77777777" w:rsidR="005146F6" w:rsidRDefault="005146F6" w:rsidP="000D5197"/>
        </w:tc>
        <w:tc>
          <w:tcPr>
            <w:tcW w:w="2400" w:type="dxa"/>
          </w:tcPr>
          <w:p w14:paraId="02F5BE22" w14:textId="77777777" w:rsidR="005146F6" w:rsidRDefault="005146F6" w:rsidP="000D5197"/>
        </w:tc>
        <w:tc>
          <w:tcPr>
            <w:tcW w:w="2401" w:type="dxa"/>
          </w:tcPr>
          <w:p w14:paraId="288BDDE4" w14:textId="77777777" w:rsidR="005146F6" w:rsidRDefault="005146F6" w:rsidP="000D5197"/>
        </w:tc>
        <w:tc>
          <w:tcPr>
            <w:tcW w:w="2401" w:type="dxa"/>
          </w:tcPr>
          <w:p w14:paraId="18CC4EDF" w14:textId="77777777" w:rsidR="005146F6" w:rsidRDefault="005146F6" w:rsidP="000D5197"/>
        </w:tc>
      </w:tr>
      <w:tr w:rsidR="005146F6" w14:paraId="271DA121" w14:textId="77777777" w:rsidTr="007D197C">
        <w:trPr>
          <w:cantSplit/>
          <w:trHeight w:val="346"/>
          <w:tblHeader/>
        </w:trPr>
        <w:tc>
          <w:tcPr>
            <w:tcW w:w="2399" w:type="dxa"/>
          </w:tcPr>
          <w:p w14:paraId="5502DDAF" w14:textId="77777777" w:rsidR="005146F6" w:rsidRDefault="005146F6" w:rsidP="000D5197"/>
        </w:tc>
        <w:tc>
          <w:tcPr>
            <w:tcW w:w="2399" w:type="dxa"/>
          </w:tcPr>
          <w:p w14:paraId="69FF579E" w14:textId="77777777" w:rsidR="005146F6" w:rsidRDefault="005146F6" w:rsidP="000D5197"/>
        </w:tc>
        <w:tc>
          <w:tcPr>
            <w:tcW w:w="2400" w:type="dxa"/>
          </w:tcPr>
          <w:p w14:paraId="03D12876" w14:textId="77777777" w:rsidR="005146F6" w:rsidRDefault="005146F6" w:rsidP="000D5197"/>
        </w:tc>
        <w:tc>
          <w:tcPr>
            <w:tcW w:w="2400" w:type="dxa"/>
          </w:tcPr>
          <w:p w14:paraId="0A09E51A" w14:textId="77777777" w:rsidR="005146F6" w:rsidRDefault="005146F6" w:rsidP="000D5197"/>
        </w:tc>
        <w:tc>
          <w:tcPr>
            <w:tcW w:w="2401" w:type="dxa"/>
          </w:tcPr>
          <w:p w14:paraId="38A6CCB2" w14:textId="77777777" w:rsidR="005146F6" w:rsidRDefault="005146F6" w:rsidP="000D5197"/>
        </w:tc>
        <w:tc>
          <w:tcPr>
            <w:tcW w:w="2401" w:type="dxa"/>
          </w:tcPr>
          <w:p w14:paraId="72078F9E" w14:textId="77777777" w:rsidR="005146F6" w:rsidRDefault="005146F6" w:rsidP="000D5197"/>
        </w:tc>
      </w:tr>
      <w:tr w:rsidR="005146F6" w14:paraId="2E852932" w14:textId="77777777" w:rsidTr="007D197C">
        <w:trPr>
          <w:cantSplit/>
          <w:trHeight w:val="346"/>
          <w:tblHeader/>
        </w:trPr>
        <w:tc>
          <w:tcPr>
            <w:tcW w:w="2399" w:type="dxa"/>
          </w:tcPr>
          <w:p w14:paraId="36BB24DD" w14:textId="77777777" w:rsidR="005146F6" w:rsidRDefault="005146F6" w:rsidP="000D5197"/>
        </w:tc>
        <w:tc>
          <w:tcPr>
            <w:tcW w:w="2399" w:type="dxa"/>
          </w:tcPr>
          <w:p w14:paraId="4481FCC4" w14:textId="77777777" w:rsidR="005146F6" w:rsidRDefault="005146F6" w:rsidP="000D5197"/>
        </w:tc>
        <w:tc>
          <w:tcPr>
            <w:tcW w:w="2400" w:type="dxa"/>
          </w:tcPr>
          <w:p w14:paraId="49CAB3CF" w14:textId="77777777" w:rsidR="005146F6" w:rsidRDefault="005146F6" w:rsidP="000D5197"/>
        </w:tc>
        <w:tc>
          <w:tcPr>
            <w:tcW w:w="2400" w:type="dxa"/>
          </w:tcPr>
          <w:p w14:paraId="0060E66B" w14:textId="77777777" w:rsidR="005146F6" w:rsidRDefault="005146F6" w:rsidP="000D5197"/>
        </w:tc>
        <w:tc>
          <w:tcPr>
            <w:tcW w:w="2401" w:type="dxa"/>
          </w:tcPr>
          <w:p w14:paraId="20743EA9" w14:textId="77777777" w:rsidR="005146F6" w:rsidRDefault="005146F6" w:rsidP="000D5197"/>
        </w:tc>
        <w:tc>
          <w:tcPr>
            <w:tcW w:w="2401" w:type="dxa"/>
          </w:tcPr>
          <w:p w14:paraId="26949E2F" w14:textId="77777777" w:rsidR="005146F6" w:rsidRDefault="005146F6" w:rsidP="000D5197"/>
        </w:tc>
      </w:tr>
      <w:tr w:rsidR="005146F6" w14:paraId="4A6F9134" w14:textId="77777777" w:rsidTr="007D197C">
        <w:trPr>
          <w:cantSplit/>
          <w:trHeight w:val="346"/>
          <w:tblHeader/>
        </w:trPr>
        <w:tc>
          <w:tcPr>
            <w:tcW w:w="2399" w:type="dxa"/>
          </w:tcPr>
          <w:p w14:paraId="458A3EE0" w14:textId="77777777" w:rsidR="005146F6" w:rsidRDefault="005146F6" w:rsidP="000D5197"/>
        </w:tc>
        <w:tc>
          <w:tcPr>
            <w:tcW w:w="2399" w:type="dxa"/>
          </w:tcPr>
          <w:p w14:paraId="639AFDCD" w14:textId="77777777" w:rsidR="005146F6" w:rsidRDefault="005146F6" w:rsidP="000D5197"/>
        </w:tc>
        <w:tc>
          <w:tcPr>
            <w:tcW w:w="2400" w:type="dxa"/>
          </w:tcPr>
          <w:p w14:paraId="4C0786ED" w14:textId="77777777" w:rsidR="005146F6" w:rsidRDefault="005146F6" w:rsidP="000D5197"/>
        </w:tc>
        <w:tc>
          <w:tcPr>
            <w:tcW w:w="2400" w:type="dxa"/>
          </w:tcPr>
          <w:p w14:paraId="57D009B0" w14:textId="77777777" w:rsidR="005146F6" w:rsidRDefault="005146F6" w:rsidP="000D5197"/>
        </w:tc>
        <w:tc>
          <w:tcPr>
            <w:tcW w:w="2401" w:type="dxa"/>
          </w:tcPr>
          <w:p w14:paraId="63108BBD" w14:textId="77777777" w:rsidR="005146F6" w:rsidRDefault="005146F6" w:rsidP="000D5197"/>
        </w:tc>
        <w:tc>
          <w:tcPr>
            <w:tcW w:w="2401" w:type="dxa"/>
          </w:tcPr>
          <w:p w14:paraId="0CCDB398" w14:textId="77777777" w:rsidR="005146F6" w:rsidRDefault="005146F6" w:rsidP="000D5197"/>
        </w:tc>
      </w:tr>
      <w:tr w:rsidR="005146F6" w14:paraId="29398E86" w14:textId="77777777" w:rsidTr="007D197C">
        <w:trPr>
          <w:cantSplit/>
          <w:trHeight w:val="346"/>
          <w:tblHeader/>
        </w:trPr>
        <w:tc>
          <w:tcPr>
            <w:tcW w:w="2399" w:type="dxa"/>
          </w:tcPr>
          <w:p w14:paraId="35226091" w14:textId="77777777" w:rsidR="005146F6" w:rsidRDefault="005146F6" w:rsidP="000D5197"/>
        </w:tc>
        <w:tc>
          <w:tcPr>
            <w:tcW w:w="2399" w:type="dxa"/>
          </w:tcPr>
          <w:p w14:paraId="02DF6B01" w14:textId="77777777" w:rsidR="005146F6" w:rsidRDefault="005146F6" w:rsidP="000D5197"/>
        </w:tc>
        <w:tc>
          <w:tcPr>
            <w:tcW w:w="2400" w:type="dxa"/>
          </w:tcPr>
          <w:p w14:paraId="5018AE0C" w14:textId="77777777" w:rsidR="005146F6" w:rsidRDefault="005146F6" w:rsidP="000D5197"/>
        </w:tc>
        <w:tc>
          <w:tcPr>
            <w:tcW w:w="2400" w:type="dxa"/>
          </w:tcPr>
          <w:p w14:paraId="5DD9F467" w14:textId="77777777" w:rsidR="005146F6" w:rsidRDefault="005146F6" w:rsidP="000D5197"/>
        </w:tc>
        <w:tc>
          <w:tcPr>
            <w:tcW w:w="2401" w:type="dxa"/>
          </w:tcPr>
          <w:p w14:paraId="0D81EF6F" w14:textId="77777777" w:rsidR="005146F6" w:rsidRDefault="005146F6" w:rsidP="000D5197"/>
        </w:tc>
        <w:tc>
          <w:tcPr>
            <w:tcW w:w="2401" w:type="dxa"/>
          </w:tcPr>
          <w:p w14:paraId="4CCB2AE6" w14:textId="77777777" w:rsidR="005146F6" w:rsidRDefault="005146F6" w:rsidP="000D5197"/>
        </w:tc>
      </w:tr>
      <w:tr w:rsidR="005146F6" w14:paraId="526253E7" w14:textId="77777777" w:rsidTr="007D197C">
        <w:trPr>
          <w:cantSplit/>
          <w:trHeight w:val="346"/>
          <w:tblHeader/>
        </w:trPr>
        <w:tc>
          <w:tcPr>
            <w:tcW w:w="2399" w:type="dxa"/>
          </w:tcPr>
          <w:p w14:paraId="201D83C6" w14:textId="77777777" w:rsidR="005146F6" w:rsidRDefault="005146F6" w:rsidP="000D5197"/>
        </w:tc>
        <w:tc>
          <w:tcPr>
            <w:tcW w:w="2399" w:type="dxa"/>
          </w:tcPr>
          <w:p w14:paraId="2754F549" w14:textId="77777777" w:rsidR="005146F6" w:rsidRDefault="005146F6" w:rsidP="000D5197"/>
        </w:tc>
        <w:tc>
          <w:tcPr>
            <w:tcW w:w="2400" w:type="dxa"/>
          </w:tcPr>
          <w:p w14:paraId="0152A766" w14:textId="77777777" w:rsidR="005146F6" w:rsidRDefault="005146F6" w:rsidP="000D5197"/>
        </w:tc>
        <w:tc>
          <w:tcPr>
            <w:tcW w:w="2400" w:type="dxa"/>
          </w:tcPr>
          <w:p w14:paraId="5AEC982B" w14:textId="77777777" w:rsidR="005146F6" w:rsidRDefault="005146F6" w:rsidP="000D5197"/>
        </w:tc>
        <w:tc>
          <w:tcPr>
            <w:tcW w:w="2401" w:type="dxa"/>
          </w:tcPr>
          <w:p w14:paraId="41969897" w14:textId="77777777" w:rsidR="005146F6" w:rsidRDefault="005146F6" w:rsidP="000D5197"/>
        </w:tc>
        <w:tc>
          <w:tcPr>
            <w:tcW w:w="2401" w:type="dxa"/>
          </w:tcPr>
          <w:p w14:paraId="4968BE88" w14:textId="77777777" w:rsidR="005146F6" w:rsidRDefault="005146F6" w:rsidP="000D5197"/>
        </w:tc>
      </w:tr>
    </w:tbl>
    <w:p w14:paraId="025A86F3" w14:textId="58411920" w:rsidR="005146F6" w:rsidRDefault="005146F6" w:rsidP="000D5197">
      <w:pPr>
        <w:spacing w:after="0"/>
      </w:pPr>
    </w:p>
    <w:p w14:paraId="65A749CC" w14:textId="34044903" w:rsidR="002B5D62" w:rsidRDefault="002B5D62">
      <w:pPr>
        <w:rPr>
          <w:rFonts w:asciiTheme="majorHAnsi" w:hAnsiTheme="majorHAnsi" w:cstheme="majorHAnsi"/>
          <w:szCs w:val="24"/>
        </w:rPr>
      </w:pPr>
      <w:r>
        <w:rPr>
          <w:rFonts w:asciiTheme="majorHAnsi" w:hAnsiTheme="majorHAnsi" w:cstheme="majorHAnsi"/>
          <w:b/>
        </w:rPr>
        <w:br w:type="page"/>
      </w:r>
    </w:p>
    <w:p w14:paraId="3034D8B9" w14:textId="77777777" w:rsidR="00DD4C00" w:rsidRPr="0055640A" w:rsidRDefault="00DD4C00" w:rsidP="0055640A">
      <w:pPr>
        <w:pStyle w:val="HeadLevel1"/>
        <w:outlineLvl w:val="0"/>
      </w:pPr>
      <w:r w:rsidRPr="0055640A">
        <w:lastRenderedPageBreak/>
        <w:t>Process Heater/Furnace Attributes</w:t>
      </w:r>
    </w:p>
    <w:p w14:paraId="766B0BF1" w14:textId="77777777" w:rsidR="00DD4C00" w:rsidRPr="0055640A" w:rsidRDefault="00DD4C00" w:rsidP="0055640A">
      <w:pPr>
        <w:pStyle w:val="HeadLevel1"/>
        <w:outlineLvl w:val="0"/>
      </w:pPr>
      <w:r w:rsidRPr="0055640A">
        <w:t>Form OP-UA5 (Page 11)</w:t>
      </w:r>
    </w:p>
    <w:p w14:paraId="03B61B7C" w14:textId="77777777" w:rsidR="00DD4C00" w:rsidRPr="0055640A" w:rsidRDefault="00DD4C00" w:rsidP="0055640A">
      <w:pPr>
        <w:pStyle w:val="HeadLevel1"/>
        <w:outlineLvl w:val="0"/>
      </w:pPr>
      <w:r w:rsidRPr="0055640A">
        <w:t>Federal Operating Permit Program</w:t>
      </w:r>
    </w:p>
    <w:p w14:paraId="7C490C21" w14:textId="77777777" w:rsidR="00DD4C00" w:rsidRPr="0055640A" w:rsidRDefault="00DD4C00" w:rsidP="0055640A">
      <w:pPr>
        <w:pStyle w:val="HeadLevel1"/>
        <w:outlineLvl w:val="0"/>
      </w:pPr>
      <w:bookmarkStart w:id="45" w:name="TBL6b"/>
      <w:r w:rsidRPr="0055640A">
        <w:t>Table 6b</w:t>
      </w:r>
      <w:bookmarkEnd w:id="45"/>
      <w:r w:rsidRPr="0055640A">
        <w:t>:  Title 40 Code of Federal Regulations Part 63 (40 CFR Part 63)</w:t>
      </w:r>
    </w:p>
    <w:p w14:paraId="19635503" w14:textId="76CCF66E" w:rsidR="00DD4C00" w:rsidRPr="0055640A" w:rsidRDefault="00DD4C00" w:rsidP="0055640A">
      <w:pPr>
        <w:pStyle w:val="HeadLevel1"/>
        <w:outlineLvl w:val="0"/>
      </w:pPr>
      <w:r w:rsidRPr="0055640A">
        <w:t xml:space="preserve">Subchapter DDDDD:  Industrial, Commercial, and </w:t>
      </w:r>
      <w:r w:rsidR="007C0D8B" w:rsidRPr="0055640A">
        <w:t xml:space="preserve">Institutional </w:t>
      </w:r>
      <w:r w:rsidRPr="0055640A">
        <w:t>Process Heaters</w:t>
      </w:r>
    </w:p>
    <w:p w14:paraId="78A80466" w14:textId="77777777" w:rsidR="0055640A" w:rsidRPr="00DC71B0" w:rsidRDefault="0055640A" w:rsidP="0055640A">
      <w:pPr>
        <w:pStyle w:val="HeadLevel1"/>
        <w:outlineLvl w:val="0"/>
      </w:pPr>
      <w:r w:rsidRPr="0055640A">
        <w:t>Texas Commission on Environmental Quality</w:t>
      </w:r>
    </w:p>
    <w:p w14:paraId="12C113DB" w14:textId="77777777" w:rsidR="00DD4C00" w:rsidRPr="00DD4C00" w:rsidRDefault="00DD4C00" w:rsidP="00DD4C0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40 Code of Federal Regulations Part 63 (40 CFR Part 63)&#10;Subchapter DDDDD:  Industrial, Commercial, and Institutional Process Heaters&#10;&#10;&#10;&#10;&#10;&#10;&#10;"/>
      </w:tblPr>
      <w:tblGrid>
        <w:gridCol w:w="4800"/>
        <w:gridCol w:w="4800"/>
        <w:gridCol w:w="4800"/>
      </w:tblGrid>
      <w:tr w:rsidR="0093034F" w:rsidRPr="00756A95" w14:paraId="4F6FB1B8" w14:textId="77777777" w:rsidTr="00F263FF">
        <w:trPr>
          <w:cantSplit/>
          <w:tblHeader/>
        </w:trPr>
        <w:tc>
          <w:tcPr>
            <w:tcW w:w="4800" w:type="dxa"/>
            <w:shd w:val="clear" w:color="auto" w:fill="D9D9D9" w:themeFill="background1" w:themeFillShade="D9"/>
          </w:tcPr>
          <w:p w14:paraId="4C15B605"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77F4BFF8"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03758B5A"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66D9A02A" w14:textId="77777777" w:rsidTr="00F263FF">
        <w:trPr>
          <w:cantSplit/>
          <w:tblHeader/>
        </w:trPr>
        <w:tc>
          <w:tcPr>
            <w:tcW w:w="4800" w:type="dxa"/>
          </w:tcPr>
          <w:p w14:paraId="0B01B843" w14:textId="77777777" w:rsidR="0093034F" w:rsidRDefault="0093034F" w:rsidP="00F263FF">
            <w:pPr>
              <w:rPr>
                <w:rFonts w:asciiTheme="majorHAnsi" w:hAnsiTheme="majorHAnsi" w:cstheme="majorHAnsi"/>
              </w:rPr>
            </w:pPr>
          </w:p>
        </w:tc>
        <w:tc>
          <w:tcPr>
            <w:tcW w:w="4800" w:type="dxa"/>
          </w:tcPr>
          <w:p w14:paraId="5C06A2B4" w14:textId="77777777" w:rsidR="0093034F" w:rsidRDefault="0093034F" w:rsidP="00F263FF">
            <w:pPr>
              <w:rPr>
                <w:rFonts w:asciiTheme="majorHAnsi" w:hAnsiTheme="majorHAnsi" w:cstheme="majorHAnsi"/>
              </w:rPr>
            </w:pPr>
          </w:p>
        </w:tc>
        <w:tc>
          <w:tcPr>
            <w:tcW w:w="4800" w:type="dxa"/>
          </w:tcPr>
          <w:p w14:paraId="059CAE5C" w14:textId="77777777" w:rsidR="0093034F" w:rsidRDefault="0093034F" w:rsidP="00F263FF">
            <w:pPr>
              <w:rPr>
                <w:rFonts w:asciiTheme="majorHAnsi" w:hAnsiTheme="majorHAnsi" w:cstheme="majorHAnsi"/>
              </w:rPr>
            </w:pPr>
          </w:p>
        </w:tc>
      </w:tr>
    </w:tbl>
    <w:p w14:paraId="09FB0D52" w14:textId="6E081C5F" w:rsidR="00DD4C00" w:rsidRDefault="00DD4C00" w:rsidP="00DD4C00">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chapter DDDDD:  Industrial, Commercial, and Institutional Process Heaters&#10;&#10;"/>
      </w:tblPr>
      <w:tblGrid>
        <w:gridCol w:w="2057"/>
        <w:gridCol w:w="2057"/>
        <w:gridCol w:w="2058"/>
        <w:gridCol w:w="2057"/>
        <w:gridCol w:w="2057"/>
        <w:gridCol w:w="2057"/>
        <w:gridCol w:w="2057"/>
      </w:tblGrid>
      <w:tr w:rsidR="007D197C" w14:paraId="2C1D492F" w14:textId="77777777" w:rsidTr="00F263FF">
        <w:trPr>
          <w:cantSplit/>
          <w:trHeight w:val="331"/>
          <w:tblHeader/>
        </w:trPr>
        <w:tc>
          <w:tcPr>
            <w:tcW w:w="2057" w:type="dxa"/>
            <w:shd w:val="clear" w:color="auto" w:fill="D9D9D9" w:themeFill="background1" w:themeFillShade="D9"/>
            <w:vAlign w:val="center"/>
          </w:tcPr>
          <w:p w14:paraId="6F4122C1" w14:textId="46D0EE3C"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Unit ID No.</w:t>
            </w:r>
          </w:p>
        </w:tc>
        <w:tc>
          <w:tcPr>
            <w:tcW w:w="2057" w:type="dxa"/>
            <w:shd w:val="clear" w:color="auto" w:fill="D9D9D9" w:themeFill="background1" w:themeFillShade="D9"/>
            <w:vAlign w:val="center"/>
          </w:tcPr>
          <w:p w14:paraId="30DF2F17" w14:textId="5850470B"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SOP/GOP Index No.</w:t>
            </w:r>
          </w:p>
        </w:tc>
        <w:tc>
          <w:tcPr>
            <w:tcW w:w="2058" w:type="dxa"/>
            <w:shd w:val="clear" w:color="auto" w:fill="D9D9D9" w:themeFill="background1" w:themeFillShade="D9"/>
            <w:vAlign w:val="center"/>
          </w:tcPr>
          <w:p w14:paraId="7D1E4B43" w14:textId="1AC24345"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HCl-CD</w:t>
            </w:r>
          </w:p>
        </w:tc>
        <w:tc>
          <w:tcPr>
            <w:tcW w:w="2057" w:type="dxa"/>
            <w:shd w:val="clear" w:color="auto" w:fill="D9D9D9" w:themeFill="background1" w:themeFillShade="D9"/>
            <w:vAlign w:val="center"/>
          </w:tcPr>
          <w:p w14:paraId="0E3A353D" w14:textId="299B727A"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HCl-Test</w:t>
            </w:r>
          </w:p>
        </w:tc>
        <w:tc>
          <w:tcPr>
            <w:tcW w:w="2057" w:type="dxa"/>
            <w:shd w:val="clear" w:color="auto" w:fill="D9D9D9" w:themeFill="background1" w:themeFillShade="D9"/>
            <w:vAlign w:val="center"/>
          </w:tcPr>
          <w:p w14:paraId="6A192E37" w14:textId="4B8385F1"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HCl-FA</w:t>
            </w:r>
          </w:p>
        </w:tc>
        <w:tc>
          <w:tcPr>
            <w:tcW w:w="2057" w:type="dxa"/>
            <w:shd w:val="clear" w:color="auto" w:fill="D9D9D9" w:themeFill="background1" w:themeFillShade="D9"/>
            <w:vAlign w:val="center"/>
          </w:tcPr>
          <w:p w14:paraId="630ED1A4" w14:textId="0FB63D4E"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HCl-</w:t>
            </w:r>
            <w:proofErr w:type="spellStart"/>
            <w:r w:rsidRPr="00DD4C00">
              <w:rPr>
                <w:rFonts w:asciiTheme="majorHAnsi" w:hAnsiTheme="majorHAnsi" w:cstheme="majorHAnsi"/>
                <w:sz w:val="20"/>
                <w:szCs w:val="20"/>
              </w:rPr>
              <w:t>FloMon</w:t>
            </w:r>
            <w:proofErr w:type="spellEnd"/>
          </w:p>
        </w:tc>
        <w:tc>
          <w:tcPr>
            <w:tcW w:w="2057" w:type="dxa"/>
            <w:shd w:val="clear" w:color="auto" w:fill="D9D9D9" w:themeFill="background1" w:themeFillShade="D9"/>
            <w:vAlign w:val="center"/>
          </w:tcPr>
          <w:p w14:paraId="4A8D5C5D" w14:textId="5D5A8924" w:rsidR="007D197C" w:rsidRPr="004F4DCD" w:rsidRDefault="007D197C" w:rsidP="007D197C">
            <w:pPr>
              <w:pStyle w:val="APDTABLE1"/>
              <w:jc w:val="center"/>
              <w:rPr>
                <w:rFonts w:asciiTheme="majorHAnsi" w:hAnsiTheme="majorHAnsi" w:cstheme="majorHAnsi"/>
                <w:sz w:val="20"/>
                <w:szCs w:val="20"/>
              </w:rPr>
            </w:pPr>
            <w:r w:rsidRPr="00DD4C00">
              <w:rPr>
                <w:rFonts w:asciiTheme="majorHAnsi" w:hAnsiTheme="majorHAnsi" w:cstheme="majorHAnsi"/>
                <w:sz w:val="20"/>
                <w:szCs w:val="20"/>
              </w:rPr>
              <w:t>HCl-</w:t>
            </w:r>
            <w:proofErr w:type="spellStart"/>
            <w:r w:rsidRPr="00DD4C00">
              <w:rPr>
                <w:rFonts w:asciiTheme="majorHAnsi" w:hAnsiTheme="majorHAnsi" w:cstheme="majorHAnsi"/>
                <w:sz w:val="20"/>
                <w:szCs w:val="20"/>
              </w:rPr>
              <w:t>pHMon</w:t>
            </w:r>
            <w:proofErr w:type="spellEnd"/>
          </w:p>
        </w:tc>
      </w:tr>
      <w:tr w:rsidR="007D197C" w14:paraId="3DCB4D19" w14:textId="77777777" w:rsidTr="00F263FF">
        <w:trPr>
          <w:cantSplit/>
          <w:trHeight w:val="331"/>
          <w:tblHeader/>
        </w:trPr>
        <w:tc>
          <w:tcPr>
            <w:tcW w:w="2057" w:type="dxa"/>
          </w:tcPr>
          <w:p w14:paraId="7A8D4B0A" w14:textId="77777777" w:rsidR="007D197C" w:rsidRDefault="007D197C" w:rsidP="00F263FF">
            <w:pPr>
              <w:pStyle w:val="APDTABLE1"/>
              <w:rPr>
                <w:rFonts w:asciiTheme="majorHAnsi" w:hAnsiTheme="majorHAnsi" w:cstheme="majorHAnsi"/>
              </w:rPr>
            </w:pPr>
          </w:p>
        </w:tc>
        <w:tc>
          <w:tcPr>
            <w:tcW w:w="2057" w:type="dxa"/>
          </w:tcPr>
          <w:p w14:paraId="1984BCF7" w14:textId="77777777" w:rsidR="007D197C" w:rsidRDefault="007D197C" w:rsidP="00F263FF">
            <w:pPr>
              <w:pStyle w:val="APDTABLE1"/>
              <w:rPr>
                <w:rFonts w:asciiTheme="majorHAnsi" w:hAnsiTheme="majorHAnsi" w:cstheme="majorHAnsi"/>
              </w:rPr>
            </w:pPr>
          </w:p>
        </w:tc>
        <w:tc>
          <w:tcPr>
            <w:tcW w:w="2058" w:type="dxa"/>
          </w:tcPr>
          <w:p w14:paraId="14520CCD" w14:textId="77777777" w:rsidR="007D197C" w:rsidRDefault="007D197C" w:rsidP="00F263FF">
            <w:pPr>
              <w:pStyle w:val="APDTABLE1"/>
              <w:rPr>
                <w:rFonts w:asciiTheme="majorHAnsi" w:hAnsiTheme="majorHAnsi" w:cstheme="majorHAnsi"/>
              </w:rPr>
            </w:pPr>
          </w:p>
        </w:tc>
        <w:tc>
          <w:tcPr>
            <w:tcW w:w="2057" w:type="dxa"/>
          </w:tcPr>
          <w:p w14:paraId="2AC1C960" w14:textId="77777777" w:rsidR="007D197C" w:rsidRDefault="007D197C" w:rsidP="00F263FF">
            <w:pPr>
              <w:pStyle w:val="APDTABLE1"/>
              <w:rPr>
                <w:rFonts w:asciiTheme="majorHAnsi" w:hAnsiTheme="majorHAnsi" w:cstheme="majorHAnsi"/>
              </w:rPr>
            </w:pPr>
          </w:p>
        </w:tc>
        <w:tc>
          <w:tcPr>
            <w:tcW w:w="2057" w:type="dxa"/>
          </w:tcPr>
          <w:p w14:paraId="6757247D" w14:textId="77777777" w:rsidR="007D197C" w:rsidRDefault="007D197C" w:rsidP="00F263FF">
            <w:pPr>
              <w:pStyle w:val="APDTABLE1"/>
              <w:rPr>
                <w:rFonts w:asciiTheme="majorHAnsi" w:hAnsiTheme="majorHAnsi" w:cstheme="majorHAnsi"/>
              </w:rPr>
            </w:pPr>
          </w:p>
        </w:tc>
        <w:tc>
          <w:tcPr>
            <w:tcW w:w="2057" w:type="dxa"/>
          </w:tcPr>
          <w:p w14:paraId="151FCD98" w14:textId="77777777" w:rsidR="007D197C" w:rsidRDefault="007D197C" w:rsidP="00F263FF">
            <w:pPr>
              <w:pStyle w:val="APDTABLE1"/>
              <w:rPr>
                <w:rFonts w:asciiTheme="majorHAnsi" w:hAnsiTheme="majorHAnsi" w:cstheme="majorHAnsi"/>
              </w:rPr>
            </w:pPr>
          </w:p>
        </w:tc>
        <w:tc>
          <w:tcPr>
            <w:tcW w:w="2057" w:type="dxa"/>
          </w:tcPr>
          <w:p w14:paraId="001EEF34" w14:textId="77777777" w:rsidR="007D197C" w:rsidRDefault="007D197C" w:rsidP="00F263FF">
            <w:pPr>
              <w:pStyle w:val="APDTABLE1"/>
              <w:rPr>
                <w:rFonts w:asciiTheme="majorHAnsi" w:hAnsiTheme="majorHAnsi" w:cstheme="majorHAnsi"/>
              </w:rPr>
            </w:pPr>
          </w:p>
        </w:tc>
      </w:tr>
      <w:tr w:rsidR="007D197C" w14:paraId="6CC00B16" w14:textId="77777777" w:rsidTr="00F263FF">
        <w:trPr>
          <w:cantSplit/>
          <w:trHeight w:val="331"/>
          <w:tblHeader/>
        </w:trPr>
        <w:tc>
          <w:tcPr>
            <w:tcW w:w="2057" w:type="dxa"/>
          </w:tcPr>
          <w:p w14:paraId="3B597C32" w14:textId="77777777" w:rsidR="007D197C" w:rsidRDefault="007D197C" w:rsidP="00F263FF">
            <w:pPr>
              <w:pStyle w:val="APDTABLE1"/>
              <w:rPr>
                <w:rFonts w:asciiTheme="majorHAnsi" w:hAnsiTheme="majorHAnsi" w:cstheme="majorHAnsi"/>
              </w:rPr>
            </w:pPr>
          </w:p>
        </w:tc>
        <w:tc>
          <w:tcPr>
            <w:tcW w:w="2057" w:type="dxa"/>
          </w:tcPr>
          <w:p w14:paraId="72FE504B" w14:textId="77777777" w:rsidR="007D197C" w:rsidRDefault="007D197C" w:rsidP="00F263FF">
            <w:pPr>
              <w:pStyle w:val="APDTABLE1"/>
              <w:rPr>
                <w:rFonts w:asciiTheme="majorHAnsi" w:hAnsiTheme="majorHAnsi" w:cstheme="majorHAnsi"/>
              </w:rPr>
            </w:pPr>
          </w:p>
        </w:tc>
        <w:tc>
          <w:tcPr>
            <w:tcW w:w="2058" w:type="dxa"/>
          </w:tcPr>
          <w:p w14:paraId="215B4E0D" w14:textId="77777777" w:rsidR="007D197C" w:rsidRDefault="007D197C" w:rsidP="00F263FF">
            <w:pPr>
              <w:pStyle w:val="APDTABLE1"/>
              <w:rPr>
                <w:rFonts w:asciiTheme="majorHAnsi" w:hAnsiTheme="majorHAnsi" w:cstheme="majorHAnsi"/>
              </w:rPr>
            </w:pPr>
          </w:p>
        </w:tc>
        <w:tc>
          <w:tcPr>
            <w:tcW w:w="2057" w:type="dxa"/>
          </w:tcPr>
          <w:p w14:paraId="46CE057D" w14:textId="77777777" w:rsidR="007D197C" w:rsidRDefault="007D197C" w:rsidP="00F263FF">
            <w:pPr>
              <w:pStyle w:val="APDTABLE1"/>
              <w:rPr>
                <w:rFonts w:asciiTheme="majorHAnsi" w:hAnsiTheme="majorHAnsi" w:cstheme="majorHAnsi"/>
              </w:rPr>
            </w:pPr>
          </w:p>
        </w:tc>
        <w:tc>
          <w:tcPr>
            <w:tcW w:w="2057" w:type="dxa"/>
          </w:tcPr>
          <w:p w14:paraId="68B57229" w14:textId="77777777" w:rsidR="007D197C" w:rsidRDefault="007D197C" w:rsidP="00F263FF">
            <w:pPr>
              <w:pStyle w:val="APDTABLE1"/>
              <w:rPr>
                <w:rFonts w:asciiTheme="majorHAnsi" w:hAnsiTheme="majorHAnsi" w:cstheme="majorHAnsi"/>
              </w:rPr>
            </w:pPr>
          </w:p>
        </w:tc>
        <w:tc>
          <w:tcPr>
            <w:tcW w:w="2057" w:type="dxa"/>
          </w:tcPr>
          <w:p w14:paraId="13E9825D" w14:textId="77777777" w:rsidR="007D197C" w:rsidRDefault="007D197C" w:rsidP="00F263FF">
            <w:pPr>
              <w:pStyle w:val="APDTABLE1"/>
              <w:rPr>
                <w:rFonts w:asciiTheme="majorHAnsi" w:hAnsiTheme="majorHAnsi" w:cstheme="majorHAnsi"/>
              </w:rPr>
            </w:pPr>
          </w:p>
        </w:tc>
        <w:tc>
          <w:tcPr>
            <w:tcW w:w="2057" w:type="dxa"/>
          </w:tcPr>
          <w:p w14:paraId="003AD9BE" w14:textId="77777777" w:rsidR="007D197C" w:rsidRDefault="007D197C" w:rsidP="00F263FF">
            <w:pPr>
              <w:pStyle w:val="APDTABLE1"/>
              <w:rPr>
                <w:rFonts w:asciiTheme="majorHAnsi" w:hAnsiTheme="majorHAnsi" w:cstheme="majorHAnsi"/>
              </w:rPr>
            </w:pPr>
          </w:p>
        </w:tc>
      </w:tr>
      <w:tr w:rsidR="007D197C" w14:paraId="5792B9B3" w14:textId="77777777" w:rsidTr="00F263FF">
        <w:trPr>
          <w:cantSplit/>
          <w:trHeight w:val="331"/>
          <w:tblHeader/>
        </w:trPr>
        <w:tc>
          <w:tcPr>
            <w:tcW w:w="2057" w:type="dxa"/>
          </w:tcPr>
          <w:p w14:paraId="1E764C9F" w14:textId="77777777" w:rsidR="007D197C" w:rsidRDefault="007D197C" w:rsidP="00F263FF">
            <w:pPr>
              <w:pStyle w:val="APDTABLE1"/>
              <w:rPr>
                <w:rFonts w:asciiTheme="majorHAnsi" w:hAnsiTheme="majorHAnsi" w:cstheme="majorHAnsi"/>
              </w:rPr>
            </w:pPr>
          </w:p>
        </w:tc>
        <w:tc>
          <w:tcPr>
            <w:tcW w:w="2057" w:type="dxa"/>
          </w:tcPr>
          <w:p w14:paraId="3B663AC4" w14:textId="77777777" w:rsidR="007D197C" w:rsidRDefault="007D197C" w:rsidP="00F263FF">
            <w:pPr>
              <w:pStyle w:val="APDTABLE1"/>
              <w:rPr>
                <w:rFonts w:asciiTheme="majorHAnsi" w:hAnsiTheme="majorHAnsi" w:cstheme="majorHAnsi"/>
              </w:rPr>
            </w:pPr>
          </w:p>
        </w:tc>
        <w:tc>
          <w:tcPr>
            <w:tcW w:w="2058" w:type="dxa"/>
          </w:tcPr>
          <w:p w14:paraId="5BE94439" w14:textId="77777777" w:rsidR="007D197C" w:rsidRDefault="007D197C" w:rsidP="00F263FF">
            <w:pPr>
              <w:pStyle w:val="APDTABLE1"/>
              <w:rPr>
                <w:rFonts w:asciiTheme="majorHAnsi" w:hAnsiTheme="majorHAnsi" w:cstheme="majorHAnsi"/>
              </w:rPr>
            </w:pPr>
          </w:p>
        </w:tc>
        <w:tc>
          <w:tcPr>
            <w:tcW w:w="2057" w:type="dxa"/>
          </w:tcPr>
          <w:p w14:paraId="1EEB2270" w14:textId="77777777" w:rsidR="007D197C" w:rsidRDefault="007D197C" w:rsidP="00F263FF">
            <w:pPr>
              <w:pStyle w:val="APDTABLE1"/>
              <w:rPr>
                <w:rFonts w:asciiTheme="majorHAnsi" w:hAnsiTheme="majorHAnsi" w:cstheme="majorHAnsi"/>
              </w:rPr>
            </w:pPr>
          </w:p>
        </w:tc>
        <w:tc>
          <w:tcPr>
            <w:tcW w:w="2057" w:type="dxa"/>
          </w:tcPr>
          <w:p w14:paraId="3D94F376" w14:textId="77777777" w:rsidR="007D197C" w:rsidRDefault="007D197C" w:rsidP="00F263FF">
            <w:pPr>
              <w:pStyle w:val="APDTABLE1"/>
              <w:rPr>
                <w:rFonts w:asciiTheme="majorHAnsi" w:hAnsiTheme="majorHAnsi" w:cstheme="majorHAnsi"/>
              </w:rPr>
            </w:pPr>
          </w:p>
        </w:tc>
        <w:tc>
          <w:tcPr>
            <w:tcW w:w="2057" w:type="dxa"/>
          </w:tcPr>
          <w:p w14:paraId="164CC85E" w14:textId="77777777" w:rsidR="007D197C" w:rsidRDefault="007D197C" w:rsidP="00F263FF">
            <w:pPr>
              <w:pStyle w:val="APDTABLE1"/>
              <w:rPr>
                <w:rFonts w:asciiTheme="majorHAnsi" w:hAnsiTheme="majorHAnsi" w:cstheme="majorHAnsi"/>
              </w:rPr>
            </w:pPr>
          </w:p>
        </w:tc>
        <w:tc>
          <w:tcPr>
            <w:tcW w:w="2057" w:type="dxa"/>
          </w:tcPr>
          <w:p w14:paraId="1AAF711A" w14:textId="77777777" w:rsidR="007D197C" w:rsidRDefault="007D197C" w:rsidP="00F263FF">
            <w:pPr>
              <w:pStyle w:val="APDTABLE1"/>
              <w:rPr>
                <w:rFonts w:asciiTheme="majorHAnsi" w:hAnsiTheme="majorHAnsi" w:cstheme="majorHAnsi"/>
              </w:rPr>
            </w:pPr>
          </w:p>
        </w:tc>
      </w:tr>
      <w:tr w:rsidR="007D197C" w14:paraId="20201859" w14:textId="77777777" w:rsidTr="00F263FF">
        <w:trPr>
          <w:cantSplit/>
          <w:trHeight w:val="331"/>
          <w:tblHeader/>
        </w:trPr>
        <w:tc>
          <w:tcPr>
            <w:tcW w:w="2057" w:type="dxa"/>
          </w:tcPr>
          <w:p w14:paraId="32EAFE44" w14:textId="77777777" w:rsidR="007D197C" w:rsidRDefault="007D197C" w:rsidP="00F263FF">
            <w:pPr>
              <w:pStyle w:val="APDTABLE1"/>
              <w:rPr>
                <w:rFonts w:asciiTheme="majorHAnsi" w:hAnsiTheme="majorHAnsi" w:cstheme="majorHAnsi"/>
              </w:rPr>
            </w:pPr>
          </w:p>
        </w:tc>
        <w:tc>
          <w:tcPr>
            <w:tcW w:w="2057" w:type="dxa"/>
          </w:tcPr>
          <w:p w14:paraId="7C29424D" w14:textId="77777777" w:rsidR="007D197C" w:rsidRDefault="007D197C" w:rsidP="00F263FF">
            <w:pPr>
              <w:pStyle w:val="APDTABLE1"/>
              <w:rPr>
                <w:rFonts w:asciiTheme="majorHAnsi" w:hAnsiTheme="majorHAnsi" w:cstheme="majorHAnsi"/>
              </w:rPr>
            </w:pPr>
          </w:p>
        </w:tc>
        <w:tc>
          <w:tcPr>
            <w:tcW w:w="2058" w:type="dxa"/>
          </w:tcPr>
          <w:p w14:paraId="55E18EBD" w14:textId="77777777" w:rsidR="007D197C" w:rsidRDefault="007D197C" w:rsidP="00F263FF">
            <w:pPr>
              <w:pStyle w:val="APDTABLE1"/>
              <w:rPr>
                <w:rFonts w:asciiTheme="majorHAnsi" w:hAnsiTheme="majorHAnsi" w:cstheme="majorHAnsi"/>
              </w:rPr>
            </w:pPr>
          </w:p>
        </w:tc>
        <w:tc>
          <w:tcPr>
            <w:tcW w:w="2057" w:type="dxa"/>
          </w:tcPr>
          <w:p w14:paraId="492DD1C9" w14:textId="77777777" w:rsidR="007D197C" w:rsidRDefault="007D197C" w:rsidP="00F263FF">
            <w:pPr>
              <w:pStyle w:val="APDTABLE1"/>
              <w:rPr>
                <w:rFonts w:asciiTheme="majorHAnsi" w:hAnsiTheme="majorHAnsi" w:cstheme="majorHAnsi"/>
              </w:rPr>
            </w:pPr>
          </w:p>
        </w:tc>
        <w:tc>
          <w:tcPr>
            <w:tcW w:w="2057" w:type="dxa"/>
          </w:tcPr>
          <w:p w14:paraId="7DD5DFC9" w14:textId="77777777" w:rsidR="007D197C" w:rsidRDefault="007D197C" w:rsidP="00F263FF">
            <w:pPr>
              <w:pStyle w:val="APDTABLE1"/>
              <w:rPr>
                <w:rFonts w:asciiTheme="majorHAnsi" w:hAnsiTheme="majorHAnsi" w:cstheme="majorHAnsi"/>
              </w:rPr>
            </w:pPr>
          </w:p>
        </w:tc>
        <w:tc>
          <w:tcPr>
            <w:tcW w:w="2057" w:type="dxa"/>
          </w:tcPr>
          <w:p w14:paraId="10F72513" w14:textId="77777777" w:rsidR="007D197C" w:rsidRDefault="007D197C" w:rsidP="00F263FF">
            <w:pPr>
              <w:pStyle w:val="APDTABLE1"/>
              <w:rPr>
                <w:rFonts w:asciiTheme="majorHAnsi" w:hAnsiTheme="majorHAnsi" w:cstheme="majorHAnsi"/>
              </w:rPr>
            </w:pPr>
          </w:p>
        </w:tc>
        <w:tc>
          <w:tcPr>
            <w:tcW w:w="2057" w:type="dxa"/>
          </w:tcPr>
          <w:p w14:paraId="7455F189" w14:textId="77777777" w:rsidR="007D197C" w:rsidRDefault="007D197C" w:rsidP="00F263FF">
            <w:pPr>
              <w:pStyle w:val="APDTABLE1"/>
              <w:rPr>
                <w:rFonts w:asciiTheme="majorHAnsi" w:hAnsiTheme="majorHAnsi" w:cstheme="majorHAnsi"/>
              </w:rPr>
            </w:pPr>
          </w:p>
        </w:tc>
      </w:tr>
      <w:tr w:rsidR="007D197C" w14:paraId="6DCF71EC" w14:textId="77777777" w:rsidTr="00F263FF">
        <w:trPr>
          <w:cantSplit/>
          <w:trHeight w:val="331"/>
          <w:tblHeader/>
        </w:trPr>
        <w:tc>
          <w:tcPr>
            <w:tcW w:w="2057" w:type="dxa"/>
          </w:tcPr>
          <w:p w14:paraId="0A52C050" w14:textId="77777777" w:rsidR="007D197C" w:rsidRDefault="007D197C" w:rsidP="00F263FF">
            <w:pPr>
              <w:pStyle w:val="APDTABLE1"/>
              <w:rPr>
                <w:rFonts w:asciiTheme="majorHAnsi" w:hAnsiTheme="majorHAnsi" w:cstheme="majorHAnsi"/>
              </w:rPr>
            </w:pPr>
          </w:p>
        </w:tc>
        <w:tc>
          <w:tcPr>
            <w:tcW w:w="2057" w:type="dxa"/>
          </w:tcPr>
          <w:p w14:paraId="23A87676" w14:textId="77777777" w:rsidR="007D197C" w:rsidRDefault="007D197C" w:rsidP="00F263FF">
            <w:pPr>
              <w:pStyle w:val="APDTABLE1"/>
              <w:rPr>
                <w:rFonts w:asciiTheme="majorHAnsi" w:hAnsiTheme="majorHAnsi" w:cstheme="majorHAnsi"/>
              </w:rPr>
            </w:pPr>
          </w:p>
        </w:tc>
        <w:tc>
          <w:tcPr>
            <w:tcW w:w="2058" w:type="dxa"/>
          </w:tcPr>
          <w:p w14:paraId="10D54597" w14:textId="77777777" w:rsidR="007D197C" w:rsidRDefault="007D197C" w:rsidP="00F263FF">
            <w:pPr>
              <w:pStyle w:val="APDTABLE1"/>
              <w:rPr>
                <w:rFonts w:asciiTheme="majorHAnsi" w:hAnsiTheme="majorHAnsi" w:cstheme="majorHAnsi"/>
              </w:rPr>
            </w:pPr>
          </w:p>
        </w:tc>
        <w:tc>
          <w:tcPr>
            <w:tcW w:w="2057" w:type="dxa"/>
          </w:tcPr>
          <w:p w14:paraId="60DB7896" w14:textId="77777777" w:rsidR="007D197C" w:rsidRDefault="007D197C" w:rsidP="00F263FF">
            <w:pPr>
              <w:pStyle w:val="APDTABLE1"/>
              <w:rPr>
                <w:rFonts w:asciiTheme="majorHAnsi" w:hAnsiTheme="majorHAnsi" w:cstheme="majorHAnsi"/>
              </w:rPr>
            </w:pPr>
          </w:p>
        </w:tc>
        <w:tc>
          <w:tcPr>
            <w:tcW w:w="2057" w:type="dxa"/>
          </w:tcPr>
          <w:p w14:paraId="5EADFE50" w14:textId="77777777" w:rsidR="007D197C" w:rsidRDefault="007D197C" w:rsidP="00F263FF">
            <w:pPr>
              <w:pStyle w:val="APDTABLE1"/>
              <w:rPr>
                <w:rFonts w:asciiTheme="majorHAnsi" w:hAnsiTheme="majorHAnsi" w:cstheme="majorHAnsi"/>
              </w:rPr>
            </w:pPr>
          </w:p>
        </w:tc>
        <w:tc>
          <w:tcPr>
            <w:tcW w:w="2057" w:type="dxa"/>
          </w:tcPr>
          <w:p w14:paraId="54022B83" w14:textId="77777777" w:rsidR="007D197C" w:rsidRDefault="007D197C" w:rsidP="00F263FF">
            <w:pPr>
              <w:pStyle w:val="APDTABLE1"/>
              <w:rPr>
                <w:rFonts w:asciiTheme="majorHAnsi" w:hAnsiTheme="majorHAnsi" w:cstheme="majorHAnsi"/>
              </w:rPr>
            </w:pPr>
          </w:p>
        </w:tc>
        <w:tc>
          <w:tcPr>
            <w:tcW w:w="2057" w:type="dxa"/>
          </w:tcPr>
          <w:p w14:paraId="724C225E" w14:textId="77777777" w:rsidR="007D197C" w:rsidRDefault="007D197C" w:rsidP="00F263FF">
            <w:pPr>
              <w:pStyle w:val="APDTABLE1"/>
              <w:rPr>
                <w:rFonts w:asciiTheme="majorHAnsi" w:hAnsiTheme="majorHAnsi" w:cstheme="majorHAnsi"/>
              </w:rPr>
            </w:pPr>
          </w:p>
        </w:tc>
      </w:tr>
      <w:tr w:rsidR="007D197C" w14:paraId="7449F6EF" w14:textId="77777777" w:rsidTr="00F263FF">
        <w:trPr>
          <w:cantSplit/>
          <w:trHeight w:val="331"/>
          <w:tblHeader/>
        </w:trPr>
        <w:tc>
          <w:tcPr>
            <w:tcW w:w="2057" w:type="dxa"/>
          </w:tcPr>
          <w:p w14:paraId="4A525BA7" w14:textId="77777777" w:rsidR="007D197C" w:rsidRDefault="007D197C" w:rsidP="00F263FF">
            <w:pPr>
              <w:pStyle w:val="APDTABLE1"/>
              <w:rPr>
                <w:rFonts w:asciiTheme="majorHAnsi" w:hAnsiTheme="majorHAnsi" w:cstheme="majorHAnsi"/>
              </w:rPr>
            </w:pPr>
          </w:p>
        </w:tc>
        <w:tc>
          <w:tcPr>
            <w:tcW w:w="2057" w:type="dxa"/>
          </w:tcPr>
          <w:p w14:paraId="5492E551" w14:textId="77777777" w:rsidR="007D197C" w:rsidRDefault="007D197C" w:rsidP="00F263FF">
            <w:pPr>
              <w:pStyle w:val="APDTABLE1"/>
              <w:rPr>
                <w:rFonts w:asciiTheme="majorHAnsi" w:hAnsiTheme="majorHAnsi" w:cstheme="majorHAnsi"/>
              </w:rPr>
            </w:pPr>
          </w:p>
        </w:tc>
        <w:tc>
          <w:tcPr>
            <w:tcW w:w="2058" w:type="dxa"/>
          </w:tcPr>
          <w:p w14:paraId="2274317D" w14:textId="77777777" w:rsidR="007D197C" w:rsidRDefault="007D197C" w:rsidP="00F263FF">
            <w:pPr>
              <w:pStyle w:val="APDTABLE1"/>
              <w:rPr>
                <w:rFonts w:asciiTheme="majorHAnsi" w:hAnsiTheme="majorHAnsi" w:cstheme="majorHAnsi"/>
              </w:rPr>
            </w:pPr>
          </w:p>
        </w:tc>
        <w:tc>
          <w:tcPr>
            <w:tcW w:w="2057" w:type="dxa"/>
          </w:tcPr>
          <w:p w14:paraId="5E9B52D0" w14:textId="77777777" w:rsidR="007D197C" w:rsidRDefault="007D197C" w:rsidP="00F263FF">
            <w:pPr>
              <w:pStyle w:val="APDTABLE1"/>
              <w:rPr>
                <w:rFonts w:asciiTheme="majorHAnsi" w:hAnsiTheme="majorHAnsi" w:cstheme="majorHAnsi"/>
              </w:rPr>
            </w:pPr>
          </w:p>
        </w:tc>
        <w:tc>
          <w:tcPr>
            <w:tcW w:w="2057" w:type="dxa"/>
          </w:tcPr>
          <w:p w14:paraId="07C4DD91" w14:textId="77777777" w:rsidR="007D197C" w:rsidRDefault="007D197C" w:rsidP="00F263FF">
            <w:pPr>
              <w:pStyle w:val="APDTABLE1"/>
              <w:rPr>
                <w:rFonts w:asciiTheme="majorHAnsi" w:hAnsiTheme="majorHAnsi" w:cstheme="majorHAnsi"/>
              </w:rPr>
            </w:pPr>
          </w:p>
        </w:tc>
        <w:tc>
          <w:tcPr>
            <w:tcW w:w="2057" w:type="dxa"/>
          </w:tcPr>
          <w:p w14:paraId="2674BBA6" w14:textId="77777777" w:rsidR="007D197C" w:rsidRDefault="007D197C" w:rsidP="00F263FF">
            <w:pPr>
              <w:pStyle w:val="APDTABLE1"/>
              <w:rPr>
                <w:rFonts w:asciiTheme="majorHAnsi" w:hAnsiTheme="majorHAnsi" w:cstheme="majorHAnsi"/>
              </w:rPr>
            </w:pPr>
          </w:p>
        </w:tc>
        <w:tc>
          <w:tcPr>
            <w:tcW w:w="2057" w:type="dxa"/>
          </w:tcPr>
          <w:p w14:paraId="674F9D14" w14:textId="77777777" w:rsidR="007D197C" w:rsidRDefault="007D197C" w:rsidP="00F263FF">
            <w:pPr>
              <w:pStyle w:val="APDTABLE1"/>
              <w:rPr>
                <w:rFonts w:asciiTheme="majorHAnsi" w:hAnsiTheme="majorHAnsi" w:cstheme="majorHAnsi"/>
              </w:rPr>
            </w:pPr>
          </w:p>
        </w:tc>
      </w:tr>
      <w:tr w:rsidR="007D197C" w14:paraId="3C902B13" w14:textId="77777777" w:rsidTr="00F263FF">
        <w:trPr>
          <w:cantSplit/>
          <w:trHeight w:val="331"/>
          <w:tblHeader/>
        </w:trPr>
        <w:tc>
          <w:tcPr>
            <w:tcW w:w="2057" w:type="dxa"/>
          </w:tcPr>
          <w:p w14:paraId="54931387" w14:textId="77777777" w:rsidR="007D197C" w:rsidRDefault="007D197C" w:rsidP="00F263FF">
            <w:pPr>
              <w:pStyle w:val="APDTABLE1"/>
              <w:rPr>
                <w:rFonts w:asciiTheme="majorHAnsi" w:hAnsiTheme="majorHAnsi" w:cstheme="majorHAnsi"/>
              </w:rPr>
            </w:pPr>
          </w:p>
        </w:tc>
        <w:tc>
          <w:tcPr>
            <w:tcW w:w="2057" w:type="dxa"/>
          </w:tcPr>
          <w:p w14:paraId="296100AE" w14:textId="77777777" w:rsidR="007D197C" w:rsidRDefault="007D197C" w:rsidP="00F263FF">
            <w:pPr>
              <w:pStyle w:val="APDTABLE1"/>
              <w:rPr>
                <w:rFonts w:asciiTheme="majorHAnsi" w:hAnsiTheme="majorHAnsi" w:cstheme="majorHAnsi"/>
              </w:rPr>
            </w:pPr>
          </w:p>
        </w:tc>
        <w:tc>
          <w:tcPr>
            <w:tcW w:w="2058" w:type="dxa"/>
          </w:tcPr>
          <w:p w14:paraId="0963D680" w14:textId="77777777" w:rsidR="007D197C" w:rsidRDefault="007D197C" w:rsidP="00F263FF">
            <w:pPr>
              <w:pStyle w:val="APDTABLE1"/>
              <w:rPr>
                <w:rFonts w:asciiTheme="majorHAnsi" w:hAnsiTheme="majorHAnsi" w:cstheme="majorHAnsi"/>
              </w:rPr>
            </w:pPr>
          </w:p>
        </w:tc>
        <w:tc>
          <w:tcPr>
            <w:tcW w:w="2057" w:type="dxa"/>
          </w:tcPr>
          <w:p w14:paraId="5628A452" w14:textId="77777777" w:rsidR="007D197C" w:rsidRDefault="007D197C" w:rsidP="00F263FF">
            <w:pPr>
              <w:pStyle w:val="APDTABLE1"/>
              <w:rPr>
                <w:rFonts w:asciiTheme="majorHAnsi" w:hAnsiTheme="majorHAnsi" w:cstheme="majorHAnsi"/>
              </w:rPr>
            </w:pPr>
          </w:p>
        </w:tc>
        <w:tc>
          <w:tcPr>
            <w:tcW w:w="2057" w:type="dxa"/>
          </w:tcPr>
          <w:p w14:paraId="7034C3FD" w14:textId="77777777" w:rsidR="007D197C" w:rsidRDefault="007D197C" w:rsidP="00F263FF">
            <w:pPr>
              <w:pStyle w:val="APDTABLE1"/>
              <w:rPr>
                <w:rFonts w:asciiTheme="majorHAnsi" w:hAnsiTheme="majorHAnsi" w:cstheme="majorHAnsi"/>
              </w:rPr>
            </w:pPr>
          </w:p>
        </w:tc>
        <w:tc>
          <w:tcPr>
            <w:tcW w:w="2057" w:type="dxa"/>
          </w:tcPr>
          <w:p w14:paraId="334FB7D3" w14:textId="77777777" w:rsidR="007D197C" w:rsidRDefault="007D197C" w:rsidP="00F263FF">
            <w:pPr>
              <w:pStyle w:val="APDTABLE1"/>
              <w:rPr>
                <w:rFonts w:asciiTheme="majorHAnsi" w:hAnsiTheme="majorHAnsi" w:cstheme="majorHAnsi"/>
              </w:rPr>
            </w:pPr>
          </w:p>
        </w:tc>
        <w:tc>
          <w:tcPr>
            <w:tcW w:w="2057" w:type="dxa"/>
          </w:tcPr>
          <w:p w14:paraId="144BD752" w14:textId="77777777" w:rsidR="007D197C" w:rsidRDefault="007D197C" w:rsidP="00F263FF">
            <w:pPr>
              <w:pStyle w:val="APDTABLE1"/>
              <w:rPr>
                <w:rFonts w:asciiTheme="majorHAnsi" w:hAnsiTheme="majorHAnsi" w:cstheme="majorHAnsi"/>
              </w:rPr>
            </w:pPr>
          </w:p>
        </w:tc>
      </w:tr>
      <w:tr w:rsidR="007D197C" w14:paraId="1ABF13BB" w14:textId="77777777" w:rsidTr="00F263FF">
        <w:trPr>
          <w:cantSplit/>
          <w:trHeight w:val="331"/>
          <w:tblHeader/>
        </w:trPr>
        <w:tc>
          <w:tcPr>
            <w:tcW w:w="2057" w:type="dxa"/>
          </w:tcPr>
          <w:p w14:paraId="01D139EB" w14:textId="77777777" w:rsidR="007D197C" w:rsidRDefault="007D197C" w:rsidP="00F263FF">
            <w:pPr>
              <w:pStyle w:val="APDTABLE1"/>
              <w:rPr>
                <w:rFonts w:asciiTheme="majorHAnsi" w:hAnsiTheme="majorHAnsi" w:cstheme="majorHAnsi"/>
              </w:rPr>
            </w:pPr>
          </w:p>
        </w:tc>
        <w:tc>
          <w:tcPr>
            <w:tcW w:w="2057" w:type="dxa"/>
          </w:tcPr>
          <w:p w14:paraId="52A7A0D2" w14:textId="77777777" w:rsidR="007D197C" w:rsidRDefault="007D197C" w:rsidP="00F263FF">
            <w:pPr>
              <w:pStyle w:val="APDTABLE1"/>
              <w:rPr>
                <w:rFonts w:asciiTheme="majorHAnsi" w:hAnsiTheme="majorHAnsi" w:cstheme="majorHAnsi"/>
              </w:rPr>
            </w:pPr>
          </w:p>
        </w:tc>
        <w:tc>
          <w:tcPr>
            <w:tcW w:w="2058" w:type="dxa"/>
          </w:tcPr>
          <w:p w14:paraId="03D177D4" w14:textId="77777777" w:rsidR="007D197C" w:rsidRDefault="007D197C" w:rsidP="00F263FF">
            <w:pPr>
              <w:pStyle w:val="APDTABLE1"/>
              <w:rPr>
                <w:rFonts w:asciiTheme="majorHAnsi" w:hAnsiTheme="majorHAnsi" w:cstheme="majorHAnsi"/>
              </w:rPr>
            </w:pPr>
          </w:p>
        </w:tc>
        <w:tc>
          <w:tcPr>
            <w:tcW w:w="2057" w:type="dxa"/>
          </w:tcPr>
          <w:p w14:paraId="15EEBAD6" w14:textId="77777777" w:rsidR="007D197C" w:rsidRDefault="007D197C" w:rsidP="00F263FF">
            <w:pPr>
              <w:pStyle w:val="APDTABLE1"/>
              <w:rPr>
                <w:rFonts w:asciiTheme="majorHAnsi" w:hAnsiTheme="majorHAnsi" w:cstheme="majorHAnsi"/>
              </w:rPr>
            </w:pPr>
          </w:p>
        </w:tc>
        <w:tc>
          <w:tcPr>
            <w:tcW w:w="2057" w:type="dxa"/>
          </w:tcPr>
          <w:p w14:paraId="02826DC7" w14:textId="77777777" w:rsidR="007D197C" w:rsidRDefault="007D197C" w:rsidP="00F263FF">
            <w:pPr>
              <w:pStyle w:val="APDTABLE1"/>
              <w:rPr>
                <w:rFonts w:asciiTheme="majorHAnsi" w:hAnsiTheme="majorHAnsi" w:cstheme="majorHAnsi"/>
              </w:rPr>
            </w:pPr>
          </w:p>
        </w:tc>
        <w:tc>
          <w:tcPr>
            <w:tcW w:w="2057" w:type="dxa"/>
          </w:tcPr>
          <w:p w14:paraId="60BA0A16" w14:textId="77777777" w:rsidR="007D197C" w:rsidRDefault="007D197C" w:rsidP="00F263FF">
            <w:pPr>
              <w:pStyle w:val="APDTABLE1"/>
              <w:rPr>
                <w:rFonts w:asciiTheme="majorHAnsi" w:hAnsiTheme="majorHAnsi" w:cstheme="majorHAnsi"/>
              </w:rPr>
            </w:pPr>
          </w:p>
        </w:tc>
        <w:tc>
          <w:tcPr>
            <w:tcW w:w="2057" w:type="dxa"/>
          </w:tcPr>
          <w:p w14:paraId="5C21E0EF" w14:textId="77777777" w:rsidR="007D197C" w:rsidRDefault="007D197C" w:rsidP="00F263FF">
            <w:pPr>
              <w:pStyle w:val="APDTABLE1"/>
              <w:rPr>
                <w:rFonts w:asciiTheme="majorHAnsi" w:hAnsiTheme="majorHAnsi" w:cstheme="majorHAnsi"/>
              </w:rPr>
            </w:pPr>
          </w:p>
        </w:tc>
      </w:tr>
      <w:tr w:rsidR="007D197C" w14:paraId="403286E0" w14:textId="77777777" w:rsidTr="00F263FF">
        <w:trPr>
          <w:cantSplit/>
          <w:trHeight w:val="331"/>
          <w:tblHeader/>
        </w:trPr>
        <w:tc>
          <w:tcPr>
            <w:tcW w:w="2057" w:type="dxa"/>
          </w:tcPr>
          <w:p w14:paraId="2F64BDC8" w14:textId="77777777" w:rsidR="007D197C" w:rsidRDefault="007D197C" w:rsidP="00F263FF">
            <w:pPr>
              <w:pStyle w:val="APDTABLE1"/>
              <w:rPr>
                <w:rFonts w:asciiTheme="majorHAnsi" w:hAnsiTheme="majorHAnsi" w:cstheme="majorHAnsi"/>
              </w:rPr>
            </w:pPr>
          </w:p>
        </w:tc>
        <w:tc>
          <w:tcPr>
            <w:tcW w:w="2057" w:type="dxa"/>
          </w:tcPr>
          <w:p w14:paraId="46D17B1F" w14:textId="77777777" w:rsidR="007D197C" w:rsidRDefault="007D197C" w:rsidP="00F263FF">
            <w:pPr>
              <w:pStyle w:val="APDTABLE1"/>
              <w:rPr>
                <w:rFonts w:asciiTheme="majorHAnsi" w:hAnsiTheme="majorHAnsi" w:cstheme="majorHAnsi"/>
              </w:rPr>
            </w:pPr>
          </w:p>
        </w:tc>
        <w:tc>
          <w:tcPr>
            <w:tcW w:w="2058" w:type="dxa"/>
          </w:tcPr>
          <w:p w14:paraId="6D6D2974" w14:textId="77777777" w:rsidR="007D197C" w:rsidRDefault="007D197C" w:rsidP="00F263FF">
            <w:pPr>
              <w:pStyle w:val="APDTABLE1"/>
              <w:rPr>
                <w:rFonts w:asciiTheme="majorHAnsi" w:hAnsiTheme="majorHAnsi" w:cstheme="majorHAnsi"/>
              </w:rPr>
            </w:pPr>
          </w:p>
        </w:tc>
        <w:tc>
          <w:tcPr>
            <w:tcW w:w="2057" w:type="dxa"/>
          </w:tcPr>
          <w:p w14:paraId="0FDC3523" w14:textId="77777777" w:rsidR="007D197C" w:rsidRDefault="007D197C" w:rsidP="00F263FF">
            <w:pPr>
              <w:pStyle w:val="APDTABLE1"/>
              <w:rPr>
                <w:rFonts w:asciiTheme="majorHAnsi" w:hAnsiTheme="majorHAnsi" w:cstheme="majorHAnsi"/>
              </w:rPr>
            </w:pPr>
          </w:p>
        </w:tc>
        <w:tc>
          <w:tcPr>
            <w:tcW w:w="2057" w:type="dxa"/>
          </w:tcPr>
          <w:p w14:paraId="0DEF4C12" w14:textId="77777777" w:rsidR="007D197C" w:rsidRDefault="007D197C" w:rsidP="00F263FF">
            <w:pPr>
              <w:pStyle w:val="APDTABLE1"/>
              <w:rPr>
                <w:rFonts w:asciiTheme="majorHAnsi" w:hAnsiTheme="majorHAnsi" w:cstheme="majorHAnsi"/>
              </w:rPr>
            </w:pPr>
          </w:p>
        </w:tc>
        <w:tc>
          <w:tcPr>
            <w:tcW w:w="2057" w:type="dxa"/>
          </w:tcPr>
          <w:p w14:paraId="3046058A" w14:textId="77777777" w:rsidR="007D197C" w:rsidRDefault="007D197C" w:rsidP="00F263FF">
            <w:pPr>
              <w:pStyle w:val="APDTABLE1"/>
              <w:rPr>
                <w:rFonts w:asciiTheme="majorHAnsi" w:hAnsiTheme="majorHAnsi" w:cstheme="majorHAnsi"/>
              </w:rPr>
            </w:pPr>
          </w:p>
        </w:tc>
        <w:tc>
          <w:tcPr>
            <w:tcW w:w="2057" w:type="dxa"/>
          </w:tcPr>
          <w:p w14:paraId="094F3F0D" w14:textId="77777777" w:rsidR="007D197C" w:rsidRDefault="007D197C" w:rsidP="00F263FF">
            <w:pPr>
              <w:pStyle w:val="APDTABLE1"/>
              <w:rPr>
                <w:rFonts w:asciiTheme="majorHAnsi" w:hAnsiTheme="majorHAnsi" w:cstheme="majorHAnsi"/>
              </w:rPr>
            </w:pPr>
          </w:p>
        </w:tc>
      </w:tr>
      <w:tr w:rsidR="007D197C" w14:paraId="6EDDC794" w14:textId="77777777" w:rsidTr="00F263FF">
        <w:trPr>
          <w:cantSplit/>
          <w:trHeight w:val="331"/>
          <w:tblHeader/>
        </w:trPr>
        <w:tc>
          <w:tcPr>
            <w:tcW w:w="2057" w:type="dxa"/>
          </w:tcPr>
          <w:p w14:paraId="6D6D1F35" w14:textId="77777777" w:rsidR="007D197C" w:rsidRDefault="007D197C" w:rsidP="00F263FF">
            <w:pPr>
              <w:pStyle w:val="APDTABLE1"/>
              <w:rPr>
                <w:rFonts w:asciiTheme="majorHAnsi" w:hAnsiTheme="majorHAnsi" w:cstheme="majorHAnsi"/>
              </w:rPr>
            </w:pPr>
          </w:p>
        </w:tc>
        <w:tc>
          <w:tcPr>
            <w:tcW w:w="2057" w:type="dxa"/>
          </w:tcPr>
          <w:p w14:paraId="0E531A4F" w14:textId="77777777" w:rsidR="007D197C" w:rsidRDefault="007D197C" w:rsidP="00F263FF">
            <w:pPr>
              <w:pStyle w:val="APDTABLE1"/>
              <w:rPr>
                <w:rFonts w:asciiTheme="majorHAnsi" w:hAnsiTheme="majorHAnsi" w:cstheme="majorHAnsi"/>
              </w:rPr>
            </w:pPr>
          </w:p>
        </w:tc>
        <w:tc>
          <w:tcPr>
            <w:tcW w:w="2058" w:type="dxa"/>
          </w:tcPr>
          <w:p w14:paraId="25250B76" w14:textId="77777777" w:rsidR="007D197C" w:rsidRDefault="007D197C" w:rsidP="00F263FF">
            <w:pPr>
              <w:pStyle w:val="APDTABLE1"/>
              <w:rPr>
                <w:rFonts w:asciiTheme="majorHAnsi" w:hAnsiTheme="majorHAnsi" w:cstheme="majorHAnsi"/>
              </w:rPr>
            </w:pPr>
          </w:p>
        </w:tc>
        <w:tc>
          <w:tcPr>
            <w:tcW w:w="2057" w:type="dxa"/>
          </w:tcPr>
          <w:p w14:paraId="193581A4" w14:textId="77777777" w:rsidR="007D197C" w:rsidRDefault="007D197C" w:rsidP="00F263FF">
            <w:pPr>
              <w:pStyle w:val="APDTABLE1"/>
              <w:rPr>
                <w:rFonts w:asciiTheme="majorHAnsi" w:hAnsiTheme="majorHAnsi" w:cstheme="majorHAnsi"/>
              </w:rPr>
            </w:pPr>
          </w:p>
        </w:tc>
        <w:tc>
          <w:tcPr>
            <w:tcW w:w="2057" w:type="dxa"/>
          </w:tcPr>
          <w:p w14:paraId="34BB26E7" w14:textId="77777777" w:rsidR="007D197C" w:rsidRDefault="007D197C" w:rsidP="00F263FF">
            <w:pPr>
              <w:pStyle w:val="APDTABLE1"/>
              <w:rPr>
                <w:rFonts w:asciiTheme="majorHAnsi" w:hAnsiTheme="majorHAnsi" w:cstheme="majorHAnsi"/>
              </w:rPr>
            </w:pPr>
          </w:p>
        </w:tc>
        <w:tc>
          <w:tcPr>
            <w:tcW w:w="2057" w:type="dxa"/>
          </w:tcPr>
          <w:p w14:paraId="0AD039D9" w14:textId="77777777" w:rsidR="007D197C" w:rsidRDefault="007D197C" w:rsidP="00F263FF">
            <w:pPr>
              <w:pStyle w:val="APDTABLE1"/>
              <w:rPr>
                <w:rFonts w:asciiTheme="majorHAnsi" w:hAnsiTheme="majorHAnsi" w:cstheme="majorHAnsi"/>
              </w:rPr>
            </w:pPr>
          </w:p>
        </w:tc>
        <w:tc>
          <w:tcPr>
            <w:tcW w:w="2057" w:type="dxa"/>
          </w:tcPr>
          <w:p w14:paraId="7147E9B5" w14:textId="77777777" w:rsidR="007D197C" w:rsidRDefault="007D197C" w:rsidP="00F263FF">
            <w:pPr>
              <w:pStyle w:val="APDTABLE1"/>
              <w:rPr>
                <w:rFonts w:asciiTheme="majorHAnsi" w:hAnsiTheme="majorHAnsi" w:cstheme="majorHAnsi"/>
              </w:rPr>
            </w:pPr>
          </w:p>
        </w:tc>
      </w:tr>
    </w:tbl>
    <w:p w14:paraId="4835577B" w14:textId="53929A6E" w:rsidR="007D197C" w:rsidRDefault="007D197C" w:rsidP="00DD4C00">
      <w:pPr>
        <w:spacing w:after="0"/>
      </w:pPr>
    </w:p>
    <w:p w14:paraId="1B7703A1" w14:textId="77777777" w:rsidR="00DD4C00" w:rsidRPr="00DD4C00" w:rsidRDefault="00DD4C00" w:rsidP="00DD4C00">
      <w:pPr>
        <w:spacing w:after="0"/>
        <w:rPr>
          <w:sz w:val="20"/>
          <w:szCs w:val="20"/>
        </w:rPr>
      </w:pPr>
      <w:r w:rsidRPr="00DD4C00">
        <w:rPr>
          <w:sz w:val="20"/>
          <w:szCs w:val="20"/>
        </w:rPr>
        <w:br w:type="page"/>
      </w:r>
    </w:p>
    <w:p w14:paraId="1BA65F39" w14:textId="77777777" w:rsidR="00DD4C00" w:rsidRPr="00DD4C00" w:rsidRDefault="00DD4C00" w:rsidP="00B51879">
      <w:pPr>
        <w:spacing w:after="0"/>
        <w:jc w:val="center"/>
        <w:outlineLvl w:val="0"/>
        <w:rPr>
          <w:rFonts w:asciiTheme="majorHAnsi" w:hAnsiTheme="majorHAnsi" w:cstheme="majorHAnsi"/>
          <w:b/>
          <w:szCs w:val="24"/>
        </w:rPr>
      </w:pPr>
      <w:r w:rsidRPr="00DD4C00">
        <w:rPr>
          <w:rFonts w:asciiTheme="majorHAnsi" w:hAnsiTheme="majorHAnsi" w:cstheme="majorHAnsi"/>
          <w:b/>
          <w:szCs w:val="24"/>
        </w:rPr>
        <w:lastRenderedPageBreak/>
        <w:t>Process Heater/Furnace Attributes</w:t>
      </w:r>
    </w:p>
    <w:p w14:paraId="589FBD5C" w14:textId="77777777" w:rsidR="00DD4C00" w:rsidRPr="00DD4C00" w:rsidRDefault="00DD4C00" w:rsidP="00B51879">
      <w:pPr>
        <w:spacing w:after="0"/>
        <w:jc w:val="center"/>
        <w:outlineLvl w:val="0"/>
        <w:rPr>
          <w:rFonts w:asciiTheme="majorHAnsi" w:hAnsiTheme="majorHAnsi" w:cstheme="majorHAnsi"/>
          <w:b/>
          <w:szCs w:val="24"/>
        </w:rPr>
      </w:pPr>
      <w:r w:rsidRPr="00DD4C00">
        <w:rPr>
          <w:rFonts w:asciiTheme="majorHAnsi" w:hAnsiTheme="majorHAnsi" w:cstheme="majorHAnsi"/>
          <w:b/>
          <w:szCs w:val="24"/>
        </w:rPr>
        <w:t>Form OP-UA5 (Page 12)</w:t>
      </w:r>
    </w:p>
    <w:p w14:paraId="03306059" w14:textId="77777777" w:rsidR="00DD4C00" w:rsidRPr="00DD4C00" w:rsidRDefault="00DD4C00" w:rsidP="00B51879">
      <w:pPr>
        <w:contextualSpacing/>
        <w:jc w:val="center"/>
        <w:outlineLvl w:val="0"/>
        <w:rPr>
          <w:b/>
          <w:bCs/>
        </w:rPr>
      </w:pPr>
      <w:r w:rsidRPr="00DD4C00">
        <w:rPr>
          <w:b/>
          <w:bCs/>
        </w:rPr>
        <w:t>Federal Operating Permit Program</w:t>
      </w:r>
    </w:p>
    <w:p w14:paraId="71ECD55A" w14:textId="77777777" w:rsidR="00DD4C00" w:rsidRPr="00DD4C00" w:rsidRDefault="00DD4C00" w:rsidP="00B51879">
      <w:pPr>
        <w:contextualSpacing/>
        <w:jc w:val="center"/>
        <w:outlineLvl w:val="0"/>
        <w:rPr>
          <w:b/>
          <w:bCs/>
        </w:rPr>
      </w:pPr>
      <w:bookmarkStart w:id="46" w:name="TBL6c"/>
      <w:r w:rsidRPr="00DD4C00">
        <w:rPr>
          <w:b/>
          <w:bCs/>
        </w:rPr>
        <w:t>Table 6c</w:t>
      </w:r>
      <w:bookmarkEnd w:id="46"/>
      <w:r w:rsidRPr="00DD4C00">
        <w:rPr>
          <w:b/>
          <w:bCs/>
        </w:rPr>
        <w:t>:  Title 40 Code of Federal Regulations Part 63 (40 CFR Part 63)</w:t>
      </w:r>
    </w:p>
    <w:p w14:paraId="6FBE9865" w14:textId="0E048C5F" w:rsidR="00DD4C00" w:rsidRDefault="00DD4C00" w:rsidP="00B51879">
      <w:pPr>
        <w:spacing w:after="0"/>
        <w:contextualSpacing/>
        <w:jc w:val="center"/>
        <w:outlineLvl w:val="0"/>
        <w:rPr>
          <w:b/>
          <w:bCs/>
        </w:rPr>
      </w:pPr>
      <w:r w:rsidRPr="00DD4C00">
        <w:rPr>
          <w:b/>
          <w:bCs/>
        </w:rPr>
        <w:t xml:space="preserve">Subchapter DDDDD:  Industrial, Commercial, and </w:t>
      </w:r>
      <w:r w:rsidR="00E252A0">
        <w:rPr>
          <w:b/>
          <w:bCs/>
        </w:rPr>
        <w:t>Institutional</w:t>
      </w:r>
      <w:r w:rsidR="00E252A0" w:rsidRPr="00DD4C00">
        <w:rPr>
          <w:b/>
          <w:bCs/>
        </w:rPr>
        <w:t xml:space="preserve"> </w:t>
      </w:r>
      <w:r w:rsidRPr="00DD4C00">
        <w:rPr>
          <w:b/>
          <w:bCs/>
        </w:rPr>
        <w:t>Process Heaters</w:t>
      </w:r>
    </w:p>
    <w:p w14:paraId="7A5E3979" w14:textId="77777777" w:rsidR="00B51879" w:rsidRPr="00DC71B0" w:rsidRDefault="00B51879" w:rsidP="00B51879">
      <w:pPr>
        <w:pStyle w:val="HeadLevel1"/>
        <w:outlineLvl w:val="0"/>
      </w:pPr>
      <w:r w:rsidRPr="00DC71B0">
        <w:t>Texas Commission on Environmental Quality</w:t>
      </w:r>
    </w:p>
    <w:p w14:paraId="5F89CFA8" w14:textId="44F0543F" w:rsidR="00B51879" w:rsidRDefault="00B51879" w:rsidP="007D197C">
      <w:pPr>
        <w:spacing w:before="360" w:after="0"/>
        <w:contextualSpacing/>
        <w:rPr>
          <w:b/>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c:  Title 40 Code of Federal Regulations Part 63 (40 CFR Part 63)&#10;Subchapter DDDDD:  Industrial, Commercial, and Institutional Process Heaters&#10;&#10;&#10;&#10;&#10;&#10;&#10;"/>
      </w:tblPr>
      <w:tblGrid>
        <w:gridCol w:w="4800"/>
        <w:gridCol w:w="4800"/>
        <w:gridCol w:w="4800"/>
      </w:tblGrid>
      <w:tr w:rsidR="0093034F" w:rsidRPr="00756A95" w14:paraId="6A5083BB" w14:textId="77777777" w:rsidTr="00F263FF">
        <w:trPr>
          <w:cantSplit/>
          <w:tblHeader/>
        </w:trPr>
        <w:tc>
          <w:tcPr>
            <w:tcW w:w="4800" w:type="dxa"/>
            <w:shd w:val="clear" w:color="auto" w:fill="D9D9D9" w:themeFill="background1" w:themeFillShade="D9"/>
          </w:tcPr>
          <w:p w14:paraId="4C92AABD"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31ACEFA0"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5271943B"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26359510" w14:textId="77777777" w:rsidTr="00F263FF">
        <w:trPr>
          <w:cantSplit/>
          <w:tblHeader/>
        </w:trPr>
        <w:tc>
          <w:tcPr>
            <w:tcW w:w="4800" w:type="dxa"/>
          </w:tcPr>
          <w:p w14:paraId="2DDA9725" w14:textId="77777777" w:rsidR="0093034F" w:rsidRDefault="0093034F" w:rsidP="00F263FF">
            <w:pPr>
              <w:rPr>
                <w:rFonts w:asciiTheme="majorHAnsi" w:hAnsiTheme="majorHAnsi" w:cstheme="majorHAnsi"/>
              </w:rPr>
            </w:pPr>
          </w:p>
        </w:tc>
        <w:tc>
          <w:tcPr>
            <w:tcW w:w="4800" w:type="dxa"/>
          </w:tcPr>
          <w:p w14:paraId="35E523BC" w14:textId="77777777" w:rsidR="0093034F" w:rsidRDefault="0093034F" w:rsidP="00F263FF">
            <w:pPr>
              <w:rPr>
                <w:rFonts w:asciiTheme="majorHAnsi" w:hAnsiTheme="majorHAnsi" w:cstheme="majorHAnsi"/>
              </w:rPr>
            </w:pPr>
          </w:p>
        </w:tc>
        <w:tc>
          <w:tcPr>
            <w:tcW w:w="4800" w:type="dxa"/>
          </w:tcPr>
          <w:p w14:paraId="3298AD1A" w14:textId="77777777" w:rsidR="0093034F" w:rsidRDefault="0093034F" w:rsidP="00F263FF">
            <w:pPr>
              <w:rPr>
                <w:rFonts w:asciiTheme="majorHAnsi" w:hAnsiTheme="majorHAnsi" w:cstheme="majorHAnsi"/>
              </w:rPr>
            </w:pPr>
          </w:p>
        </w:tc>
      </w:tr>
    </w:tbl>
    <w:p w14:paraId="52DCC429" w14:textId="6680D83D" w:rsidR="00B51879" w:rsidRDefault="00B51879" w:rsidP="00B51879">
      <w:pPr>
        <w:spacing w:after="0"/>
        <w:contextualSpacing/>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c:  Title 40 Code of Federal Regulations Part 63 (40 CFR Part 63)&#10;Subchapter DDDDD:  Industrial, Commercial, and Institutional Process Heaters&#10;"/>
      </w:tblPr>
      <w:tblGrid>
        <w:gridCol w:w="1800"/>
        <w:gridCol w:w="1800"/>
        <w:gridCol w:w="1800"/>
        <w:gridCol w:w="1800"/>
        <w:gridCol w:w="1800"/>
        <w:gridCol w:w="1800"/>
        <w:gridCol w:w="1800"/>
        <w:gridCol w:w="1800"/>
      </w:tblGrid>
      <w:tr w:rsidR="00CD0056" w14:paraId="6DAAEF60" w14:textId="77777777" w:rsidTr="00CD0056">
        <w:trPr>
          <w:cantSplit/>
          <w:tblHeader/>
        </w:trPr>
        <w:tc>
          <w:tcPr>
            <w:tcW w:w="1800" w:type="dxa"/>
            <w:shd w:val="clear" w:color="auto" w:fill="D9D9D9" w:themeFill="background1" w:themeFillShade="D9"/>
            <w:vAlign w:val="center"/>
          </w:tcPr>
          <w:p w14:paraId="23C2569F" w14:textId="59A8D892" w:rsidR="00CD0056" w:rsidRDefault="00CD0056" w:rsidP="00CD0056">
            <w:pPr>
              <w:contextualSpacing/>
              <w:jc w:val="center"/>
            </w:pPr>
            <w:r w:rsidRPr="00DD4C00">
              <w:rPr>
                <w:rFonts w:asciiTheme="majorHAnsi" w:hAnsiTheme="majorHAnsi" w:cstheme="majorHAnsi"/>
                <w:b/>
                <w:sz w:val="20"/>
                <w:szCs w:val="20"/>
              </w:rPr>
              <w:t>Unit ID No.</w:t>
            </w:r>
          </w:p>
        </w:tc>
        <w:tc>
          <w:tcPr>
            <w:tcW w:w="1800" w:type="dxa"/>
            <w:shd w:val="clear" w:color="auto" w:fill="D9D9D9" w:themeFill="background1" w:themeFillShade="D9"/>
            <w:vAlign w:val="center"/>
          </w:tcPr>
          <w:p w14:paraId="0F20256E" w14:textId="77777777" w:rsidR="00CD0056" w:rsidRDefault="00CD0056" w:rsidP="00CD0056">
            <w:pPr>
              <w:contextualSpacing/>
              <w:jc w:val="center"/>
              <w:rPr>
                <w:rFonts w:asciiTheme="majorHAnsi" w:hAnsiTheme="majorHAnsi" w:cstheme="majorHAnsi"/>
                <w:b/>
                <w:sz w:val="20"/>
                <w:szCs w:val="20"/>
              </w:rPr>
            </w:pPr>
            <w:r w:rsidRPr="00DD4C00">
              <w:rPr>
                <w:rFonts w:asciiTheme="majorHAnsi" w:hAnsiTheme="majorHAnsi" w:cstheme="majorHAnsi"/>
                <w:b/>
                <w:sz w:val="20"/>
                <w:szCs w:val="20"/>
              </w:rPr>
              <w:t>SOP/GOP</w:t>
            </w:r>
          </w:p>
          <w:p w14:paraId="7181CA08" w14:textId="525B2ED3" w:rsidR="00CD0056" w:rsidRDefault="00CD0056" w:rsidP="00CD0056">
            <w:pPr>
              <w:contextualSpacing/>
              <w:jc w:val="center"/>
            </w:pPr>
            <w:r w:rsidRPr="00DD4C00">
              <w:rPr>
                <w:rFonts w:asciiTheme="majorHAnsi" w:hAnsiTheme="majorHAnsi" w:cstheme="majorHAnsi"/>
                <w:b/>
                <w:sz w:val="20"/>
                <w:szCs w:val="20"/>
              </w:rPr>
              <w:t>Index No.</w:t>
            </w:r>
          </w:p>
        </w:tc>
        <w:tc>
          <w:tcPr>
            <w:tcW w:w="1800" w:type="dxa"/>
            <w:shd w:val="clear" w:color="auto" w:fill="D9D9D9" w:themeFill="background1" w:themeFillShade="D9"/>
            <w:vAlign w:val="center"/>
          </w:tcPr>
          <w:p w14:paraId="1B307E8F" w14:textId="5609B589" w:rsidR="00CD0056" w:rsidRDefault="00CD0056" w:rsidP="00CD0056">
            <w:pPr>
              <w:contextualSpacing/>
              <w:jc w:val="center"/>
            </w:pPr>
            <w:r w:rsidRPr="00DD4C00">
              <w:rPr>
                <w:rFonts w:asciiTheme="majorHAnsi" w:hAnsiTheme="majorHAnsi" w:cstheme="majorHAnsi"/>
                <w:b/>
                <w:sz w:val="20"/>
                <w:szCs w:val="20"/>
              </w:rPr>
              <w:t>Hg Emission</w:t>
            </w:r>
          </w:p>
        </w:tc>
        <w:tc>
          <w:tcPr>
            <w:tcW w:w="1800" w:type="dxa"/>
            <w:shd w:val="clear" w:color="auto" w:fill="D9D9D9" w:themeFill="background1" w:themeFillShade="D9"/>
            <w:vAlign w:val="center"/>
          </w:tcPr>
          <w:p w14:paraId="2E73EBEC" w14:textId="4D862947" w:rsidR="00CD0056" w:rsidRDefault="00CD0056" w:rsidP="00CD0056">
            <w:pPr>
              <w:contextualSpacing/>
              <w:jc w:val="center"/>
            </w:pPr>
            <w:r w:rsidRPr="00DD4C00">
              <w:rPr>
                <w:rFonts w:asciiTheme="majorHAnsi" w:hAnsiTheme="majorHAnsi" w:cstheme="majorHAnsi"/>
                <w:b/>
                <w:sz w:val="20"/>
                <w:szCs w:val="20"/>
              </w:rPr>
              <w:t>Hg-</w:t>
            </w:r>
            <w:proofErr w:type="spellStart"/>
            <w:r w:rsidRPr="00DD4C00">
              <w:rPr>
                <w:rFonts w:asciiTheme="majorHAnsi" w:hAnsiTheme="majorHAnsi" w:cstheme="majorHAnsi"/>
                <w:b/>
                <w:sz w:val="20"/>
                <w:szCs w:val="20"/>
              </w:rPr>
              <w:t>InjRate</w:t>
            </w:r>
            <w:proofErr w:type="spellEnd"/>
          </w:p>
        </w:tc>
        <w:tc>
          <w:tcPr>
            <w:tcW w:w="1800" w:type="dxa"/>
            <w:shd w:val="clear" w:color="auto" w:fill="D9D9D9" w:themeFill="background1" w:themeFillShade="D9"/>
            <w:vAlign w:val="center"/>
          </w:tcPr>
          <w:p w14:paraId="302E8A83" w14:textId="2EEA60D6" w:rsidR="00CD0056" w:rsidRDefault="00CD0056" w:rsidP="00CD0056">
            <w:pPr>
              <w:contextualSpacing/>
              <w:jc w:val="center"/>
            </w:pPr>
            <w:r w:rsidRPr="00DD4C00">
              <w:rPr>
                <w:rFonts w:asciiTheme="majorHAnsi" w:hAnsiTheme="majorHAnsi" w:cstheme="majorHAnsi"/>
                <w:b/>
                <w:sz w:val="20"/>
                <w:szCs w:val="20"/>
              </w:rPr>
              <w:t>Hg-CMS</w:t>
            </w:r>
          </w:p>
        </w:tc>
        <w:tc>
          <w:tcPr>
            <w:tcW w:w="1800" w:type="dxa"/>
            <w:shd w:val="clear" w:color="auto" w:fill="D9D9D9" w:themeFill="background1" w:themeFillShade="D9"/>
            <w:vAlign w:val="center"/>
          </w:tcPr>
          <w:p w14:paraId="04848BE6" w14:textId="7091B5A0" w:rsidR="00CD0056" w:rsidRDefault="00CD0056" w:rsidP="00CD0056">
            <w:pPr>
              <w:contextualSpacing/>
              <w:jc w:val="center"/>
            </w:pPr>
            <w:r w:rsidRPr="00DD4C00">
              <w:rPr>
                <w:rFonts w:asciiTheme="majorHAnsi" w:hAnsiTheme="majorHAnsi" w:cstheme="majorHAnsi"/>
                <w:b/>
                <w:sz w:val="20"/>
                <w:szCs w:val="20"/>
              </w:rPr>
              <w:t>Hg-CD</w:t>
            </w:r>
          </w:p>
        </w:tc>
        <w:tc>
          <w:tcPr>
            <w:tcW w:w="1800" w:type="dxa"/>
            <w:shd w:val="clear" w:color="auto" w:fill="D9D9D9" w:themeFill="background1" w:themeFillShade="D9"/>
            <w:vAlign w:val="center"/>
          </w:tcPr>
          <w:p w14:paraId="6BF7B4E5" w14:textId="20F1AAB2" w:rsidR="00CD0056" w:rsidRDefault="00CD0056" w:rsidP="00CD0056">
            <w:pPr>
              <w:contextualSpacing/>
              <w:jc w:val="center"/>
            </w:pPr>
            <w:r w:rsidRPr="00DD4C00">
              <w:rPr>
                <w:rFonts w:asciiTheme="majorHAnsi" w:hAnsiTheme="majorHAnsi" w:cstheme="majorHAnsi"/>
                <w:b/>
                <w:sz w:val="20"/>
                <w:szCs w:val="20"/>
              </w:rPr>
              <w:t>Hg-Test</w:t>
            </w:r>
          </w:p>
        </w:tc>
        <w:tc>
          <w:tcPr>
            <w:tcW w:w="1800" w:type="dxa"/>
            <w:shd w:val="clear" w:color="auto" w:fill="D9D9D9" w:themeFill="background1" w:themeFillShade="D9"/>
            <w:vAlign w:val="center"/>
          </w:tcPr>
          <w:p w14:paraId="18E393D4" w14:textId="722E33F8" w:rsidR="00CD0056" w:rsidRDefault="00CD0056" w:rsidP="00CD0056">
            <w:pPr>
              <w:contextualSpacing/>
              <w:jc w:val="center"/>
            </w:pPr>
            <w:r w:rsidRPr="00DD4C00">
              <w:rPr>
                <w:rFonts w:asciiTheme="majorHAnsi" w:hAnsiTheme="majorHAnsi" w:cstheme="majorHAnsi"/>
                <w:b/>
                <w:sz w:val="20"/>
                <w:szCs w:val="20"/>
              </w:rPr>
              <w:t>Hg-FA</w:t>
            </w:r>
          </w:p>
        </w:tc>
      </w:tr>
      <w:tr w:rsidR="00CD0056" w14:paraId="3E4EF3D5" w14:textId="77777777" w:rsidTr="00CD0056">
        <w:trPr>
          <w:cantSplit/>
          <w:trHeight w:val="346"/>
          <w:tblHeader/>
        </w:trPr>
        <w:tc>
          <w:tcPr>
            <w:tcW w:w="1800" w:type="dxa"/>
          </w:tcPr>
          <w:p w14:paraId="51AE1B07" w14:textId="77777777" w:rsidR="00CD0056" w:rsidRDefault="00CD0056" w:rsidP="00B51879">
            <w:pPr>
              <w:contextualSpacing/>
            </w:pPr>
          </w:p>
        </w:tc>
        <w:tc>
          <w:tcPr>
            <w:tcW w:w="1800" w:type="dxa"/>
          </w:tcPr>
          <w:p w14:paraId="1F4FBDC7" w14:textId="77777777" w:rsidR="00CD0056" w:rsidRDefault="00CD0056" w:rsidP="00B51879">
            <w:pPr>
              <w:contextualSpacing/>
            </w:pPr>
          </w:p>
        </w:tc>
        <w:tc>
          <w:tcPr>
            <w:tcW w:w="1800" w:type="dxa"/>
          </w:tcPr>
          <w:p w14:paraId="513033CA" w14:textId="77777777" w:rsidR="00CD0056" w:rsidRDefault="00CD0056" w:rsidP="00B51879">
            <w:pPr>
              <w:contextualSpacing/>
            </w:pPr>
          </w:p>
        </w:tc>
        <w:tc>
          <w:tcPr>
            <w:tcW w:w="1800" w:type="dxa"/>
          </w:tcPr>
          <w:p w14:paraId="413FA493" w14:textId="77777777" w:rsidR="00CD0056" w:rsidRDefault="00CD0056" w:rsidP="00B51879">
            <w:pPr>
              <w:contextualSpacing/>
            </w:pPr>
          </w:p>
        </w:tc>
        <w:tc>
          <w:tcPr>
            <w:tcW w:w="1800" w:type="dxa"/>
          </w:tcPr>
          <w:p w14:paraId="41996D39" w14:textId="77777777" w:rsidR="00CD0056" w:rsidRDefault="00CD0056" w:rsidP="00B51879">
            <w:pPr>
              <w:contextualSpacing/>
            </w:pPr>
          </w:p>
        </w:tc>
        <w:tc>
          <w:tcPr>
            <w:tcW w:w="1800" w:type="dxa"/>
          </w:tcPr>
          <w:p w14:paraId="36000B09" w14:textId="77777777" w:rsidR="00CD0056" w:rsidRDefault="00CD0056" w:rsidP="00B51879">
            <w:pPr>
              <w:contextualSpacing/>
            </w:pPr>
          </w:p>
        </w:tc>
        <w:tc>
          <w:tcPr>
            <w:tcW w:w="1800" w:type="dxa"/>
          </w:tcPr>
          <w:p w14:paraId="3AB41E41" w14:textId="77777777" w:rsidR="00CD0056" w:rsidRDefault="00CD0056" w:rsidP="00B51879">
            <w:pPr>
              <w:contextualSpacing/>
            </w:pPr>
          </w:p>
        </w:tc>
        <w:tc>
          <w:tcPr>
            <w:tcW w:w="1800" w:type="dxa"/>
          </w:tcPr>
          <w:p w14:paraId="2AF9701E" w14:textId="77777777" w:rsidR="00CD0056" w:rsidRDefault="00CD0056" w:rsidP="00B51879">
            <w:pPr>
              <w:contextualSpacing/>
            </w:pPr>
          </w:p>
        </w:tc>
      </w:tr>
      <w:tr w:rsidR="00CD0056" w14:paraId="6C628FA2" w14:textId="77777777" w:rsidTr="00CD0056">
        <w:trPr>
          <w:cantSplit/>
          <w:trHeight w:val="346"/>
          <w:tblHeader/>
        </w:trPr>
        <w:tc>
          <w:tcPr>
            <w:tcW w:w="1800" w:type="dxa"/>
          </w:tcPr>
          <w:p w14:paraId="75ED1069" w14:textId="77777777" w:rsidR="00CD0056" w:rsidRDefault="00CD0056" w:rsidP="00B51879">
            <w:pPr>
              <w:contextualSpacing/>
            </w:pPr>
          </w:p>
        </w:tc>
        <w:tc>
          <w:tcPr>
            <w:tcW w:w="1800" w:type="dxa"/>
          </w:tcPr>
          <w:p w14:paraId="229B8AC7" w14:textId="77777777" w:rsidR="00CD0056" w:rsidRDefault="00CD0056" w:rsidP="00B51879">
            <w:pPr>
              <w:contextualSpacing/>
            </w:pPr>
          </w:p>
        </w:tc>
        <w:tc>
          <w:tcPr>
            <w:tcW w:w="1800" w:type="dxa"/>
          </w:tcPr>
          <w:p w14:paraId="4427A6DF" w14:textId="77777777" w:rsidR="00CD0056" w:rsidRDefault="00CD0056" w:rsidP="00B51879">
            <w:pPr>
              <w:contextualSpacing/>
            </w:pPr>
          </w:p>
        </w:tc>
        <w:tc>
          <w:tcPr>
            <w:tcW w:w="1800" w:type="dxa"/>
          </w:tcPr>
          <w:p w14:paraId="403983CA" w14:textId="77777777" w:rsidR="00CD0056" w:rsidRDefault="00CD0056" w:rsidP="00B51879">
            <w:pPr>
              <w:contextualSpacing/>
            </w:pPr>
          </w:p>
        </w:tc>
        <w:tc>
          <w:tcPr>
            <w:tcW w:w="1800" w:type="dxa"/>
          </w:tcPr>
          <w:p w14:paraId="7981C0DC" w14:textId="77777777" w:rsidR="00CD0056" w:rsidRDefault="00CD0056" w:rsidP="00B51879">
            <w:pPr>
              <w:contextualSpacing/>
            </w:pPr>
          </w:p>
        </w:tc>
        <w:tc>
          <w:tcPr>
            <w:tcW w:w="1800" w:type="dxa"/>
          </w:tcPr>
          <w:p w14:paraId="01D0A805" w14:textId="77777777" w:rsidR="00CD0056" w:rsidRDefault="00CD0056" w:rsidP="00B51879">
            <w:pPr>
              <w:contextualSpacing/>
            </w:pPr>
          </w:p>
        </w:tc>
        <w:tc>
          <w:tcPr>
            <w:tcW w:w="1800" w:type="dxa"/>
          </w:tcPr>
          <w:p w14:paraId="3CCA711A" w14:textId="77777777" w:rsidR="00CD0056" w:rsidRDefault="00CD0056" w:rsidP="00B51879">
            <w:pPr>
              <w:contextualSpacing/>
            </w:pPr>
          </w:p>
        </w:tc>
        <w:tc>
          <w:tcPr>
            <w:tcW w:w="1800" w:type="dxa"/>
          </w:tcPr>
          <w:p w14:paraId="3D61CF82" w14:textId="77777777" w:rsidR="00CD0056" w:rsidRDefault="00CD0056" w:rsidP="00B51879">
            <w:pPr>
              <w:contextualSpacing/>
            </w:pPr>
          </w:p>
        </w:tc>
      </w:tr>
      <w:tr w:rsidR="00CD0056" w14:paraId="288D9FCF" w14:textId="77777777" w:rsidTr="00CD0056">
        <w:trPr>
          <w:cantSplit/>
          <w:trHeight w:val="346"/>
          <w:tblHeader/>
        </w:trPr>
        <w:tc>
          <w:tcPr>
            <w:tcW w:w="1800" w:type="dxa"/>
          </w:tcPr>
          <w:p w14:paraId="1C2D18CA" w14:textId="77777777" w:rsidR="00CD0056" w:rsidRDefault="00CD0056" w:rsidP="00B51879">
            <w:pPr>
              <w:contextualSpacing/>
            </w:pPr>
          </w:p>
        </w:tc>
        <w:tc>
          <w:tcPr>
            <w:tcW w:w="1800" w:type="dxa"/>
          </w:tcPr>
          <w:p w14:paraId="091CB642" w14:textId="77777777" w:rsidR="00CD0056" w:rsidRDefault="00CD0056" w:rsidP="00B51879">
            <w:pPr>
              <w:contextualSpacing/>
            </w:pPr>
          </w:p>
        </w:tc>
        <w:tc>
          <w:tcPr>
            <w:tcW w:w="1800" w:type="dxa"/>
          </w:tcPr>
          <w:p w14:paraId="2D88B049" w14:textId="77777777" w:rsidR="00CD0056" w:rsidRDefault="00CD0056" w:rsidP="00B51879">
            <w:pPr>
              <w:contextualSpacing/>
            </w:pPr>
          </w:p>
        </w:tc>
        <w:tc>
          <w:tcPr>
            <w:tcW w:w="1800" w:type="dxa"/>
          </w:tcPr>
          <w:p w14:paraId="6FDF9DBC" w14:textId="77777777" w:rsidR="00CD0056" w:rsidRDefault="00CD0056" w:rsidP="00B51879">
            <w:pPr>
              <w:contextualSpacing/>
            </w:pPr>
          </w:p>
        </w:tc>
        <w:tc>
          <w:tcPr>
            <w:tcW w:w="1800" w:type="dxa"/>
          </w:tcPr>
          <w:p w14:paraId="70B31E7E" w14:textId="77777777" w:rsidR="00CD0056" w:rsidRDefault="00CD0056" w:rsidP="00B51879">
            <w:pPr>
              <w:contextualSpacing/>
            </w:pPr>
          </w:p>
        </w:tc>
        <w:tc>
          <w:tcPr>
            <w:tcW w:w="1800" w:type="dxa"/>
          </w:tcPr>
          <w:p w14:paraId="22A5C8E1" w14:textId="77777777" w:rsidR="00CD0056" w:rsidRDefault="00CD0056" w:rsidP="00B51879">
            <w:pPr>
              <w:contextualSpacing/>
            </w:pPr>
          </w:p>
        </w:tc>
        <w:tc>
          <w:tcPr>
            <w:tcW w:w="1800" w:type="dxa"/>
          </w:tcPr>
          <w:p w14:paraId="4D181204" w14:textId="77777777" w:rsidR="00CD0056" w:rsidRDefault="00CD0056" w:rsidP="00B51879">
            <w:pPr>
              <w:contextualSpacing/>
            </w:pPr>
          </w:p>
        </w:tc>
        <w:tc>
          <w:tcPr>
            <w:tcW w:w="1800" w:type="dxa"/>
          </w:tcPr>
          <w:p w14:paraId="2F77F8B9" w14:textId="77777777" w:rsidR="00CD0056" w:rsidRDefault="00CD0056" w:rsidP="00B51879">
            <w:pPr>
              <w:contextualSpacing/>
            </w:pPr>
          </w:p>
        </w:tc>
      </w:tr>
      <w:tr w:rsidR="00CD0056" w14:paraId="5AB4E1AE" w14:textId="77777777" w:rsidTr="00CD0056">
        <w:trPr>
          <w:cantSplit/>
          <w:trHeight w:val="346"/>
          <w:tblHeader/>
        </w:trPr>
        <w:tc>
          <w:tcPr>
            <w:tcW w:w="1800" w:type="dxa"/>
          </w:tcPr>
          <w:p w14:paraId="5C38906E" w14:textId="77777777" w:rsidR="00CD0056" w:rsidRDefault="00CD0056" w:rsidP="00B51879">
            <w:pPr>
              <w:contextualSpacing/>
            </w:pPr>
          </w:p>
        </w:tc>
        <w:tc>
          <w:tcPr>
            <w:tcW w:w="1800" w:type="dxa"/>
          </w:tcPr>
          <w:p w14:paraId="0109A9B3" w14:textId="77777777" w:rsidR="00CD0056" w:rsidRDefault="00CD0056" w:rsidP="00B51879">
            <w:pPr>
              <w:contextualSpacing/>
            </w:pPr>
          </w:p>
        </w:tc>
        <w:tc>
          <w:tcPr>
            <w:tcW w:w="1800" w:type="dxa"/>
          </w:tcPr>
          <w:p w14:paraId="6ABFF46B" w14:textId="77777777" w:rsidR="00CD0056" w:rsidRDefault="00CD0056" w:rsidP="00B51879">
            <w:pPr>
              <w:contextualSpacing/>
            </w:pPr>
          </w:p>
        </w:tc>
        <w:tc>
          <w:tcPr>
            <w:tcW w:w="1800" w:type="dxa"/>
          </w:tcPr>
          <w:p w14:paraId="61109625" w14:textId="77777777" w:rsidR="00CD0056" w:rsidRDefault="00CD0056" w:rsidP="00B51879">
            <w:pPr>
              <w:contextualSpacing/>
            </w:pPr>
          </w:p>
        </w:tc>
        <w:tc>
          <w:tcPr>
            <w:tcW w:w="1800" w:type="dxa"/>
          </w:tcPr>
          <w:p w14:paraId="545CF69C" w14:textId="77777777" w:rsidR="00CD0056" w:rsidRDefault="00CD0056" w:rsidP="00B51879">
            <w:pPr>
              <w:contextualSpacing/>
            </w:pPr>
          </w:p>
        </w:tc>
        <w:tc>
          <w:tcPr>
            <w:tcW w:w="1800" w:type="dxa"/>
          </w:tcPr>
          <w:p w14:paraId="0D6DB177" w14:textId="77777777" w:rsidR="00CD0056" w:rsidRDefault="00CD0056" w:rsidP="00B51879">
            <w:pPr>
              <w:contextualSpacing/>
            </w:pPr>
          </w:p>
        </w:tc>
        <w:tc>
          <w:tcPr>
            <w:tcW w:w="1800" w:type="dxa"/>
          </w:tcPr>
          <w:p w14:paraId="443DE032" w14:textId="77777777" w:rsidR="00CD0056" w:rsidRDefault="00CD0056" w:rsidP="00B51879">
            <w:pPr>
              <w:contextualSpacing/>
            </w:pPr>
          </w:p>
        </w:tc>
        <w:tc>
          <w:tcPr>
            <w:tcW w:w="1800" w:type="dxa"/>
          </w:tcPr>
          <w:p w14:paraId="14CEC053" w14:textId="77777777" w:rsidR="00CD0056" w:rsidRDefault="00CD0056" w:rsidP="00B51879">
            <w:pPr>
              <w:contextualSpacing/>
            </w:pPr>
          </w:p>
        </w:tc>
      </w:tr>
      <w:tr w:rsidR="00CD0056" w14:paraId="0337B7D3" w14:textId="77777777" w:rsidTr="00CD0056">
        <w:trPr>
          <w:cantSplit/>
          <w:trHeight w:val="346"/>
          <w:tblHeader/>
        </w:trPr>
        <w:tc>
          <w:tcPr>
            <w:tcW w:w="1800" w:type="dxa"/>
          </w:tcPr>
          <w:p w14:paraId="6842AC85" w14:textId="77777777" w:rsidR="00CD0056" w:rsidRDefault="00CD0056" w:rsidP="00B51879">
            <w:pPr>
              <w:contextualSpacing/>
            </w:pPr>
          </w:p>
        </w:tc>
        <w:tc>
          <w:tcPr>
            <w:tcW w:w="1800" w:type="dxa"/>
          </w:tcPr>
          <w:p w14:paraId="60E16220" w14:textId="77777777" w:rsidR="00CD0056" w:rsidRDefault="00CD0056" w:rsidP="00B51879">
            <w:pPr>
              <w:contextualSpacing/>
            </w:pPr>
          </w:p>
        </w:tc>
        <w:tc>
          <w:tcPr>
            <w:tcW w:w="1800" w:type="dxa"/>
          </w:tcPr>
          <w:p w14:paraId="417E5079" w14:textId="77777777" w:rsidR="00CD0056" w:rsidRDefault="00CD0056" w:rsidP="00B51879">
            <w:pPr>
              <w:contextualSpacing/>
            </w:pPr>
          </w:p>
        </w:tc>
        <w:tc>
          <w:tcPr>
            <w:tcW w:w="1800" w:type="dxa"/>
          </w:tcPr>
          <w:p w14:paraId="25E20C8C" w14:textId="77777777" w:rsidR="00CD0056" w:rsidRDefault="00CD0056" w:rsidP="00B51879">
            <w:pPr>
              <w:contextualSpacing/>
            </w:pPr>
          </w:p>
        </w:tc>
        <w:tc>
          <w:tcPr>
            <w:tcW w:w="1800" w:type="dxa"/>
          </w:tcPr>
          <w:p w14:paraId="6C08217C" w14:textId="77777777" w:rsidR="00CD0056" w:rsidRDefault="00CD0056" w:rsidP="00B51879">
            <w:pPr>
              <w:contextualSpacing/>
            </w:pPr>
          </w:p>
        </w:tc>
        <w:tc>
          <w:tcPr>
            <w:tcW w:w="1800" w:type="dxa"/>
          </w:tcPr>
          <w:p w14:paraId="0EF98EF5" w14:textId="77777777" w:rsidR="00CD0056" w:rsidRDefault="00CD0056" w:rsidP="00B51879">
            <w:pPr>
              <w:contextualSpacing/>
            </w:pPr>
          </w:p>
        </w:tc>
        <w:tc>
          <w:tcPr>
            <w:tcW w:w="1800" w:type="dxa"/>
          </w:tcPr>
          <w:p w14:paraId="16EDF8B1" w14:textId="77777777" w:rsidR="00CD0056" w:rsidRDefault="00CD0056" w:rsidP="00B51879">
            <w:pPr>
              <w:contextualSpacing/>
            </w:pPr>
          </w:p>
        </w:tc>
        <w:tc>
          <w:tcPr>
            <w:tcW w:w="1800" w:type="dxa"/>
          </w:tcPr>
          <w:p w14:paraId="426A4DCE" w14:textId="77777777" w:rsidR="00CD0056" w:rsidRDefault="00CD0056" w:rsidP="00B51879">
            <w:pPr>
              <w:contextualSpacing/>
            </w:pPr>
          </w:p>
        </w:tc>
      </w:tr>
      <w:tr w:rsidR="00CD0056" w14:paraId="06BECB72" w14:textId="77777777" w:rsidTr="00CD0056">
        <w:trPr>
          <w:cantSplit/>
          <w:trHeight w:val="346"/>
          <w:tblHeader/>
        </w:trPr>
        <w:tc>
          <w:tcPr>
            <w:tcW w:w="1800" w:type="dxa"/>
          </w:tcPr>
          <w:p w14:paraId="0B93C0EB" w14:textId="77777777" w:rsidR="00CD0056" w:rsidRDefault="00CD0056" w:rsidP="00B51879">
            <w:pPr>
              <w:contextualSpacing/>
            </w:pPr>
          </w:p>
        </w:tc>
        <w:tc>
          <w:tcPr>
            <w:tcW w:w="1800" w:type="dxa"/>
          </w:tcPr>
          <w:p w14:paraId="3E5CB1BE" w14:textId="77777777" w:rsidR="00CD0056" w:rsidRDefault="00CD0056" w:rsidP="00B51879">
            <w:pPr>
              <w:contextualSpacing/>
            </w:pPr>
          </w:p>
        </w:tc>
        <w:tc>
          <w:tcPr>
            <w:tcW w:w="1800" w:type="dxa"/>
          </w:tcPr>
          <w:p w14:paraId="051BA39A" w14:textId="77777777" w:rsidR="00CD0056" w:rsidRDefault="00CD0056" w:rsidP="00B51879">
            <w:pPr>
              <w:contextualSpacing/>
            </w:pPr>
          </w:p>
        </w:tc>
        <w:tc>
          <w:tcPr>
            <w:tcW w:w="1800" w:type="dxa"/>
          </w:tcPr>
          <w:p w14:paraId="1060107B" w14:textId="77777777" w:rsidR="00CD0056" w:rsidRDefault="00CD0056" w:rsidP="00B51879">
            <w:pPr>
              <w:contextualSpacing/>
            </w:pPr>
          </w:p>
        </w:tc>
        <w:tc>
          <w:tcPr>
            <w:tcW w:w="1800" w:type="dxa"/>
          </w:tcPr>
          <w:p w14:paraId="506507BD" w14:textId="77777777" w:rsidR="00CD0056" w:rsidRDefault="00CD0056" w:rsidP="00B51879">
            <w:pPr>
              <w:contextualSpacing/>
            </w:pPr>
          </w:p>
        </w:tc>
        <w:tc>
          <w:tcPr>
            <w:tcW w:w="1800" w:type="dxa"/>
          </w:tcPr>
          <w:p w14:paraId="4EE6BB52" w14:textId="77777777" w:rsidR="00CD0056" w:rsidRDefault="00CD0056" w:rsidP="00B51879">
            <w:pPr>
              <w:contextualSpacing/>
            </w:pPr>
          </w:p>
        </w:tc>
        <w:tc>
          <w:tcPr>
            <w:tcW w:w="1800" w:type="dxa"/>
          </w:tcPr>
          <w:p w14:paraId="04AD1495" w14:textId="77777777" w:rsidR="00CD0056" w:rsidRDefault="00CD0056" w:rsidP="00B51879">
            <w:pPr>
              <w:contextualSpacing/>
            </w:pPr>
          </w:p>
        </w:tc>
        <w:tc>
          <w:tcPr>
            <w:tcW w:w="1800" w:type="dxa"/>
          </w:tcPr>
          <w:p w14:paraId="7EFB38CB" w14:textId="77777777" w:rsidR="00CD0056" w:rsidRDefault="00CD0056" w:rsidP="00B51879">
            <w:pPr>
              <w:contextualSpacing/>
            </w:pPr>
          </w:p>
        </w:tc>
      </w:tr>
      <w:tr w:rsidR="00CD0056" w14:paraId="1CEC52A7" w14:textId="77777777" w:rsidTr="00CD0056">
        <w:trPr>
          <w:cantSplit/>
          <w:trHeight w:val="346"/>
          <w:tblHeader/>
        </w:trPr>
        <w:tc>
          <w:tcPr>
            <w:tcW w:w="1800" w:type="dxa"/>
          </w:tcPr>
          <w:p w14:paraId="608F8617" w14:textId="77777777" w:rsidR="00CD0056" w:rsidRDefault="00CD0056" w:rsidP="00B51879">
            <w:pPr>
              <w:contextualSpacing/>
            </w:pPr>
          </w:p>
        </w:tc>
        <w:tc>
          <w:tcPr>
            <w:tcW w:w="1800" w:type="dxa"/>
          </w:tcPr>
          <w:p w14:paraId="7D180A9A" w14:textId="77777777" w:rsidR="00CD0056" w:rsidRDefault="00CD0056" w:rsidP="00B51879">
            <w:pPr>
              <w:contextualSpacing/>
            </w:pPr>
          </w:p>
        </w:tc>
        <w:tc>
          <w:tcPr>
            <w:tcW w:w="1800" w:type="dxa"/>
          </w:tcPr>
          <w:p w14:paraId="1E5BA584" w14:textId="77777777" w:rsidR="00CD0056" w:rsidRDefault="00CD0056" w:rsidP="00B51879">
            <w:pPr>
              <w:contextualSpacing/>
            </w:pPr>
          </w:p>
        </w:tc>
        <w:tc>
          <w:tcPr>
            <w:tcW w:w="1800" w:type="dxa"/>
          </w:tcPr>
          <w:p w14:paraId="3CE97E43" w14:textId="77777777" w:rsidR="00CD0056" w:rsidRDefault="00CD0056" w:rsidP="00B51879">
            <w:pPr>
              <w:contextualSpacing/>
            </w:pPr>
          </w:p>
        </w:tc>
        <w:tc>
          <w:tcPr>
            <w:tcW w:w="1800" w:type="dxa"/>
          </w:tcPr>
          <w:p w14:paraId="649DAADA" w14:textId="77777777" w:rsidR="00CD0056" w:rsidRDefault="00CD0056" w:rsidP="00B51879">
            <w:pPr>
              <w:contextualSpacing/>
            </w:pPr>
          </w:p>
        </w:tc>
        <w:tc>
          <w:tcPr>
            <w:tcW w:w="1800" w:type="dxa"/>
          </w:tcPr>
          <w:p w14:paraId="0FB05739" w14:textId="77777777" w:rsidR="00CD0056" w:rsidRDefault="00CD0056" w:rsidP="00B51879">
            <w:pPr>
              <w:contextualSpacing/>
            </w:pPr>
          </w:p>
        </w:tc>
        <w:tc>
          <w:tcPr>
            <w:tcW w:w="1800" w:type="dxa"/>
          </w:tcPr>
          <w:p w14:paraId="7B0EDA01" w14:textId="77777777" w:rsidR="00CD0056" w:rsidRDefault="00CD0056" w:rsidP="00B51879">
            <w:pPr>
              <w:contextualSpacing/>
            </w:pPr>
          </w:p>
        </w:tc>
        <w:tc>
          <w:tcPr>
            <w:tcW w:w="1800" w:type="dxa"/>
          </w:tcPr>
          <w:p w14:paraId="03CE5054" w14:textId="77777777" w:rsidR="00CD0056" w:rsidRDefault="00CD0056" w:rsidP="00B51879">
            <w:pPr>
              <w:contextualSpacing/>
            </w:pPr>
          </w:p>
        </w:tc>
      </w:tr>
      <w:tr w:rsidR="00CD0056" w14:paraId="640754EC" w14:textId="77777777" w:rsidTr="00CD0056">
        <w:trPr>
          <w:cantSplit/>
          <w:trHeight w:val="346"/>
          <w:tblHeader/>
        </w:trPr>
        <w:tc>
          <w:tcPr>
            <w:tcW w:w="1800" w:type="dxa"/>
          </w:tcPr>
          <w:p w14:paraId="312B839F" w14:textId="77777777" w:rsidR="00CD0056" w:rsidRDefault="00CD0056" w:rsidP="00B51879">
            <w:pPr>
              <w:contextualSpacing/>
            </w:pPr>
          </w:p>
        </w:tc>
        <w:tc>
          <w:tcPr>
            <w:tcW w:w="1800" w:type="dxa"/>
          </w:tcPr>
          <w:p w14:paraId="6D653204" w14:textId="77777777" w:rsidR="00CD0056" w:rsidRDefault="00CD0056" w:rsidP="00B51879">
            <w:pPr>
              <w:contextualSpacing/>
            </w:pPr>
          </w:p>
        </w:tc>
        <w:tc>
          <w:tcPr>
            <w:tcW w:w="1800" w:type="dxa"/>
          </w:tcPr>
          <w:p w14:paraId="5E3CB9B0" w14:textId="77777777" w:rsidR="00CD0056" w:rsidRDefault="00CD0056" w:rsidP="00B51879">
            <w:pPr>
              <w:contextualSpacing/>
            </w:pPr>
          </w:p>
        </w:tc>
        <w:tc>
          <w:tcPr>
            <w:tcW w:w="1800" w:type="dxa"/>
          </w:tcPr>
          <w:p w14:paraId="5AAC870D" w14:textId="77777777" w:rsidR="00CD0056" w:rsidRDefault="00CD0056" w:rsidP="00B51879">
            <w:pPr>
              <w:contextualSpacing/>
            </w:pPr>
          </w:p>
        </w:tc>
        <w:tc>
          <w:tcPr>
            <w:tcW w:w="1800" w:type="dxa"/>
          </w:tcPr>
          <w:p w14:paraId="27C5F011" w14:textId="77777777" w:rsidR="00CD0056" w:rsidRDefault="00CD0056" w:rsidP="00B51879">
            <w:pPr>
              <w:contextualSpacing/>
            </w:pPr>
          </w:p>
        </w:tc>
        <w:tc>
          <w:tcPr>
            <w:tcW w:w="1800" w:type="dxa"/>
          </w:tcPr>
          <w:p w14:paraId="6F9776B1" w14:textId="77777777" w:rsidR="00CD0056" w:rsidRDefault="00CD0056" w:rsidP="00B51879">
            <w:pPr>
              <w:contextualSpacing/>
            </w:pPr>
          </w:p>
        </w:tc>
        <w:tc>
          <w:tcPr>
            <w:tcW w:w="1800" w:type="dxa"/>
          </w:tcPr>
          <w:p w14:paraId="20B15F2F" w14:textId="77777777" w:rsidR="00CD0056" w:rsidRDefault="00CD0056" w:rsidP="00B51879">
            <w:pPr>
              <w:contextualSpacing/>
            </w:pPr>
          </w:p>
        </w:tc>
        <w:tc>
          <w:tcPr>
            <w:tcW w:w="1800" w:type="dxa"/>
          </w:tcPr>
          <w:p w14:paraId="4F9D63B7" w14:textId="77777777" w:rsidR="00CD0056" w:rsidRDefault="00CD0056" w:rsidP="00B51879">
            <w:pPr>
              <w:contextualSpacing/>
            </w:pPr>
          </w:p>
        </w:tc>
      </w:tr>
      <w:tr w:rsidR="00CD0056" w14:paraId="538D6F6A" w14:textId="77777777" w:rsidTr="00CD0056">
        <w:trPr>
          <w:cantSplit/>
          <w:trHeight w:val="346"/>
          <w:tblHeader/>
        </w:trPr>
        <w:tc>
          <w:tcPr>
            <w:tcW w:w="1800" w:type="dxa"/>
          </w:tcPr>
          <w:p w14:paraId="0851BBBA" w14:textId="77777777" w:rsidR="00CD0056" w:rsidRDefault="00CD0056" w:rsidP="00B51879">
            <w:pPr>
              <w:contextualSpacing/>
            </w:pPr>
          </w:p>
        </w:tc>
        <w:tc>
          <w:tcPr>
            <w:tcW w:w="1800" w:type="dxa"/>
          </w:tcPr>
          <w:p w14:paraId="429B87D1" w14:textId="77777777" w:rsidR="00CD0056" w:rsidRDefault="00CD0056" w:rsidP="00B51879">
            <w:pPr>
              <w:contextualSpacing/>
            </w:pPr>
          </w:p>
        </w:tc>
        <w:tc>
          <w:tcPr>
            <w:tcW w:w="1800" w:type="dxa"/>
          </w:tcPr>
          <w:p w14:paraId="63B62E12" w14:textId="77777777" w:rsidR="00CD0056" w:rsidRDefault="00CD0056" w:rsidP="00B51879">
            <w:pPr>
              <w:contextualSpacing/>
            </w:pPr>
          </w:p>
        </w:tc>
        <w:tc>
          <w:tcPr>
            <w:tcW w:w="1800" w:type="dxa"/>
          </w:tcPr>
          <w:p w14:paraId="5F125DE0" w14:textId="77777777" w:rsidR="00CD0056" w:rsidRDefault="00CD0056" w:rsidP="00B51879">
            <w:pPr>
              <w:contextualSpacing/>
            </w:pPr>
          </w:p>
        </w:tc>
        <w:tc>
          <w:tcPr>
            <w:tcW w:w="1800" w:type="dxa"/>
          </w:tcPr>
          <w:p w14:paraId="5EA84572" w14:textId="77777777" w:rsidR="00CD0056" w:rsidRDefault="00CD0056" w:rsidP="00B51879">
            <w:pPr>
              <w:contextualSpacing/>
            </w:pPr>
          </w:p>
        </w:tc>
        <w:tc>
          <w:tcPr>
            <w:tcW w:w="1800" w:type="dxa"/>
          </w:tcPr>
          <w:p w14:paraId="787D15E7" w14:textId="77777777" w:rsidR="00CD0056" w:rsidRDefault="00CD0056" w:rsidP="00B51879">
            <w:pPr>
              <w:contextualSpacing/>
            </w:pPr>
          </w:p>
        </w:tc>
        <w:tc>
          <w:tcPr>
            <w:tcW w:w="1800" w:type="dxa"/>
          </w:tcPr>
          <w:p w14:paraId="71BE49E8" w14:textId="77777777" w:rsidR="00CD0056" w:rsidRDefault="00CD0056" w:rsidP="00B51879">
            <w:pPr>
              <w:contextualSpacing/>
            </w:pPr>
          </w:p>
        </w:tc>
        <w:tc>
          <w:tcPr>
            <w:tcW w:w="1800" w:type="dxa"/>
          </w:tcPr>
          <w:p w14:paraId="2C264763" w14:textId="77777777" w:rsidR="00CD0056" w:rsidRDefault="00CD0056" w:rsidP="00B51879">
            <w:pPr>
              <w:contextualSpacing/>
            </w:pPr>
          </w:p>
        </w:tc>
      </w:tr>
      <w:tr w:rsidR="00CD0056" w14:paraId="6B0AF327" w14:textId="77777777" w:rsidTr="00CD0056">
        <w:trPr>
          <w:cantSplit/>
          <w:trHeight w:val="346"/>
          <w:tblHeader/>
        </w:trPr>
        <w:tc>
          <w:tcPr>
            <w:tcW w:w="1800" w:type="dxa"/>
          </w:tcPr>
          <w:p w14:paraId="73F8162A" w14:textId="77777777" w:rsidR="00CD0056" w:rsidRDefault="00CD0056" w:rsidP="00B51879">
            <w:pPr>
              <w:contextualSpacing/>
            </w:pPr>
          </w:p>
        </w:tc>
        <w:tc>
          <w:tcPr>
            <w:tcW w:w="1800" w:type="dxa"/>
          </w:tcPr>
          <w:p w14:paraId="0F772F3D" w14:textId="77777777" w:rsidR="00CD0056" w:rsidRDefault="00CD0056" w:rsidP="00B51879">
            <w:pPr>
              <w:contextualSpacing/>
            </w:pPr>
          </w:p>
        </w:tc>
        <w:tc>
          <w:tcPr>
            <w:tcW w:w="1800" w:type="dxa"/>
          </w:tcPr>
          <w:p w14:paraId="6A5BF2E0" w14:textId="77777777" w:rsidR="00CD0056" w:rsidRDefault="00CD0056" w:rsidP="00B51879">
            <w:pPr>
              <w:contextualSpacing/>
            </w:pPr>
          </w:p>
        </w:tc>
        <w:tc>
          <w:tcPr>
            <w:tcW w:w="1800" w:type="dxa"/>
          </w:tcPr>
          <w:p w14:paraId="648172A9" w14:textId="77777777" w:rsidR="00CD0056" w:rsidRDefault="00CD0056" w:rsidP="00B51879">
            <w:pPr>
              <w:contextualSpacing/>
            </w:pPr>
          </w:p>
        </w:tc>
        <w:tc>
          <w:tcPr>
            <w:tcW w:w="1800" w:type="dxa"/>
          </w:tcPr>
          <w:p w14:paraId="55189DD4" w14:textId="77777777" w:rsidR="00CD0056" w:rsidRDefault="00CD0056" w:rsidP="00B51879">
            <w:pPr>
              <w:contextualSpacing/>
            </w:pPr>
          </w:p>
        </w:tc>
        <w:tc>
          <w:tcPr>
            <w:tcW w:w="1800" w:type="dxa"/>
          </w:tcPr>
          <w:p w14:paraId="2C6B9F17" w14:textId="77777777" w:rsidR="00CD0056" w:rsidRDefault="00CD0056" w:rsidP="00B51879">
            <w:pPr>
              <w:contextualSpacing/>
            </w:pPr>
          </w:p>
        </w:tc>
        <w:tc>
          <w:tcPr>
            <w:tcW w:w="1800" w:type="dxa"/>
          </w:tcPr>
          <w:p w14:paraId="37C2FD5D" w14:textId="77777777" w:rsidR="00CD0056" w:rsidRDefault="00CD0056" w:rsidP="00B51879">
            <w:pPr>
              <w:contextualSpacing/>
            </w:pPr>
          </w:p>
        </w:tc>
        <w:tc>
          <w:tcPr>
            <w:tcW w:w="1800" w:type="dxa"/>
          </w:tcPr>
          <w:p w14:paraId="4E7EA19D" w14:textId="77777777" w:rsidR="00CD0056" w:rsidRDefault="00CD0056" w:rsidP="00B51879">
            <w:pPr>
              <w:contextualSpacing/>
            </w:pPr>
          </w:p>
        </w:tc>
      </w:tr>
    </w:tbl>
    <w:p w14:paraId="77F48EDF" w14:textId="7C1A04BB" w:rsidR="007D197C" w:rsidRDefault="007D197C" w:rsidP="00B51879">
      <w:pPr>
        <w:spacing w:after="0"/>
        <w:contextualSpacing/>
      </w:pPr>
    </w:p>
    <w:p w14:paraId="382D4195" w14:textId="77777777" w:rsidR="00DD4C00" w:rsidRPr="00DD4C00" w:rsidRDefault="00DD4C00" w:rsidP="00DD4C00">
      <w:pPr>
        <w:spacing w:after="0"/>
        <w:rPr>
          <w:sz w:val="20"/>
          <w:szCs w:val="20"/>
        </w:rPr>
      </w:pPr>
      <w:r w:rsidRPr="00DD4C00">
        <w:rPr>
          <w:sz w:val="20"/>
          <w:szCs w:val="20"/>
        </w:rPr>
        <w:br w:type="page"/>
      </w:r>
    </w:p>
    <w:p w14:paraId="33407CDD" w14:textId="77777777" w:rsidR="00DD4C00" w:rsidRPr="00DD4C00" w:rsidRDefault="00DD4C00" w:rsidP="006E6F24">
      <w:pPr>
        <w:spacing w:after="0"/>
        <w:jc w:val="center"/>
        <w:outlineLvl w:val="0"/>
        <w:rPr>
          <w:rFonts w:asciiTheme="majorHAnsi" w:hAnsiTheme="majorHAnsi" w:cstheme="majorHAnsi"/>
          <w:b/>
          <w:szCs w:val="24"/>
        </w:rPr>
      </w:pPr>
      <w:r w:rsidRPr="00DD4C00">
        <w:rPr>
          <w:rFonts w:asciiTheme="majorHAnsi" w:hAnsiTheme="majorHAnsi" w:cstheme="majorHAnsi"/>
          <w:b/>
          <w:szCs w:val="24"/>
        </w:rPr>
        <w:lastRenderedPageBreak/>
        <w:t>Process Heater/Furnace Attributes</w:t>
      </w:r>
    </w:p>
    <w:p w14:paraId="4C02E6D4" w14:textId="77777777" w:rsidR="00DD4C00" w:rsidRPr="00DD4C00" w:rsidRDefault="00DD4C00" w:rsidP="006E6F24">
      <w:pPr>
        <w:spacing w:after="0"/>
        <w:jc w:val="center"/>
        <w:outlineLvl w:val="0"/>
        <w:rPr>
          <w:rFonts w:asciiTheme="majorHAnsi" w:hAnsiTheme="majorHAnsi" w:cstheme="majorHAnsi"/>
          <w:b/>
          <w:szCs w:val="24"/>
        </w:rPr>
      </w:pPr>
      <w:r w:rsidRPr="00DD4C00">
        <w:rPr>
          <w:rFonts w:asciiTheme="majorHAnsi" w:hAnsiTheme="majorHAnsi" w:cstheme="majorHAnsi"/>
          <w:b/>
          <w:szCs w:val="24"/>
        </w:rPr>
        <w:t>Form OP-UA5 (Page 13)</w:t>
      </w:r>
    </w:p>
    <w:p w14:paraId="265E23DD" w14:textId="77777777" w:rsidR="00DD4C00" w:rsidRPr="00DD4C00" w:rsidRDefault="00DD4C00" w:rsidP="006E6F24">
      <w:pPr>
        <w:spacing w:after="0"/>
        <w:contextualSpacing/>
        <w:jc w:val="center"/>
        <w:outlineLvl w:val="0"/>
        <w:rPr>
          <w:b/>
          <w:bCs/>
        </w:rPr>
      </w:pPr>
      <w:r w:rsidRPr="00DD4C00">
        <w:rPr>
          <w:b/>
          <w:bCs/>
        </w:rPr>
        <w:t>Federal Operating Permit Program</w:t>
      </w:r>
    </w:p>
    <w:p w14:paraId="0492AEC1" w14:textId="77777777" w:rsidR="00DD4C00" w:rsidRPr="00DD4C00" w:rsidRDefault="00DD4C00" w:rsidP="006E6F24">
      <w:pPr>
        <w:spacing w:after="0"/>
        <w:contextualSpacing/>
        <w:jc w:val="center"/>
        <w:outlineLvl w:val="0"/>
        <w:rPr>
          <w:b/>
          <w:bCs/>
        </w:rPr>
      </w:pPr>
      <w:bookmarkStart w:id="47" w:name="TBL6d"/>
      <w:r w:rsidRPr="00DD4C00">
        <w:rPr>
          <w:b/>
          <w:bCs/>
        </w:rPr>
        <w:t>Table 6d</w:t>
      </w:r>
      <w:bookmarkEnd w:id="47"/>
      <w:r w:rsidRPr="00DD4C00">
        <w:rPr>
          <w:b/>
          <w:bCs/>
        </w:rPr>
        <w:t>:  Title 40 Code of Federal Regulations Part 63 (40 CFR Part 63)</w:t>
      </w:r>
    </w:p>
    <w:p w14:paraId="0A46D0F2" w14:textId="706E5BC9" w:rsidR="00DD4C00" w:rsidRDefault="00DD4C00" w:rsidP="006E6F24">
      <w:pPr>
        <w:spacing w:after="0"/>
        <w:contextualSpacing/>
        <w:jc w:val="center"/>
        <w:outlineLvl w:val="0"/>
        <w:rPr>
          <w:b/>
          <w:bCs/>
        </w:rPr>
      </w:pPr>
      <w:r w:rsidRPr="00DD4C00">
        <w:rPr>
          <w:b/>
          <w:bCs/>
        </w:rPr>
        <w:t xml:space="preserve">Subchapter DDDDD:  Industrial, Commercial, and </w:t>
      </w:r>
      <w:r w:rsidR="00E252A0">
        <w:rPr>
          <w:b/>
          <w:bCs/>
        </w:rPr>
        <w:t>Institutional</w:t>
      </w:r>
      <w:r w:rsidR="00E252A0" w:rsidRPr="00DD4C00">
        <w:rPr>
          <w:b/>
          <w:bCs/>
        </w:rPr>
        <w:t xml:space="preserve"> </w:t>
      </w:r>
      <w:r w:rsidRPr="00DD4C00">
        <w:rPr>
          <w:b/>
          <w:bCs/>
        </w:rPr>
        <w:t>Process Heaters</w:t>
      </w:r>
    </w:p>
    <w:p w14:paraId="048A39E7" w14:textId="77777777" w:rsidR="00520798" w:rsidRPr="00DC71B0" w:rsidRDefault="00520798" w:rsidP="006E6F24">
      <w:pPr>
        <w:pStyle w:val="HeadLevel1"/>
        <w:outlineLvl w:val="0"/>
      </w:pPr>
      <w:r w:rsidRPr="00DC71B0">
        <w:t>Texas Commission on Environmental Quality</w:t>
      </w:r>
    </w:p>
    <w:p w14:paraId="59CA9B8B" w14:textId="77777777" w:rsidR="00DD4C00" w:rsidRPr="00DD4C00" w:rsidRDefault="00DD4C00" w:rsidP="006E6F24">
      <w:pPr>
        <w:spacing w:before="360" w:after="0"/>
        <w:jc w:val="center"/>
        <w:outlineLv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d:  Title 40 Code of Federal Regulations Part 63 (40 CFR Part 63)&#10;Subchapter DDDDD:  Industrial, Commercial, and Institutional Process Heaters&#10;&#10;&#10;&#10;&#10;&#10;&#10;"/>
      </w:tblPr>
      <w:tblGrid>
        <w:gridCol w:w="4800"/>
        <w:gridCol w:w="4800"/>
        <w:gridCol w:w="4800"/>
      </w:tblGrid>
      <w:tr w:rsidR="0093034F" w:rsidRPr="00756A95" w14:paraId="3206151F" w14:textId="77777777" w:rsidTr="00F263FF">
        <w:trPr>
          <w:cantSplit/>
          <w:tblHeader/>
        </w:trPr>
        <w:tc>
          <w:tcPr>
            <w:tcW w:w="4800" w:type="dxa"/>
            <w:shd w:val="clear" w:color="auto" w:fill="D9D9D9" w:themeFill="background1" w:themeFillShade="D9"/>
          </w:tcPr>
          <w:p w14:paraId="799EAC1F"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573E2D27"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07570FCE"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2BF357F2" w14:textId="77777777" w:rsidTr="00F263FF">
        <w:trPr>
          <w:cantSplit/>
          <w:tblHeader/>
        </w:trPr>
        <w:tc>
          <w:tcPr>
            <w:tcW w:w="4800" w:type="dxa"/>
          </w:tcPr>
          <w:p w14:paraId="2E652473" w14:textId="77777777" w:rsidR="0093034F" w:rsidRDefault="0093034F" w:rsidP="00F263FF">
            <w:pPr>
              <w:rPr>
                <w:rFonts w:asciiTheme="majorHAnsi" w:hAnsiTheme="majorHAnsi" w:cstheme="majorHAnsi"/>
              </w:rPr>
            </w:pPr>
          </w:p>
        </w:tc>
        <w:tc>
          <w:tcPr>
            <w:tcW w:w="4800" w:type="dxa"/>
          </w:tcPr>
          <w:p w14:paraId="79340F9D" w14:textId="77777777" w:rsidR="0093034F" w:rsidRDefault="0093034F" w:rsidP="00F263FF">
            <w:pPr>
              <w:rPr>
                <w:rFonts w:asciiTheme="majorHAnsi" w:hAnsiTheme="majorHAnsi" w:cstheme="majorHAnsi"/>
              </w:rPr>
            </w:pPr>
          </w:p>
        </w:tc>
        <w:tc>
          <w:tcPr>
            <w:tcW w:w="4800" w:type="dxa"/>
          </w:tcPr>
          <w:p w14:paraId="5D47F0F2" w14:textId="77777777" w:rsidR="0093034F" w:rsidRDefault="0093034F" w:rsidP="00F263FF">
            <w:pPr>
              <w:rPr>
                <w:rFonts w:asciiTheme="majorHAnsi" w:hAnsiTheme="majorHAnsi" w:cstheme="majorHAnsi"/>
              </w:rPr>
            </w:pPr>
          </w:p>
        </w:tc>
      </w:tr>
    </w:tbl>
    <w:p w14:paraId="7F8D4580" w14:textId="29245FD8" w:rsidR="00DD4C00" w:rsidRDefault="00DD4C00" w:rsidP="00B85B51">
      <w:pPr>
        <w:spacing w:after="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d:  Title 40 Code of Federal Regulations Part 63 (40 CFR Part 63)&#10;Subchapter DDDDD:  Industrial, Commercial, and Institutional Process Heaters&#10;"/>
      </w:tblPr>
      <w:tblGrid>
        <w:gridCol w:w="2058"/>
        <w:gridCol w:w="2057"/>
        <w:gridCol w:w="2057"/>
        <w:gridCol w:w="2057"/>
        <w:gridCol w:w="2057"/>
        <w:gridCol w:w="2057"/>
        <w:gridCol w:w="2057"/>
      </w:tblGrid>
      <w:tr w:rsidR="00CD0056" w14:paraId="0F2014E7" w14:textId="77777777" w:rsidTr="00CD0056">
        <w:trPr>
          <w:cantSplit/>
          <w:tblHeader/>
        </w:trPr>
        <w:tc>
          <w:tcPr>
            <w:tcW w:w="1800" w:type="dxa"/>
            <w:shd w:val="clear" w:color="auto" w:fill="D9D9D9" w:themeFill="background1" w:themeFillShade="D9"/>
            <w:vAlign w:val="center"/>
          </w:tcPr>
          <w:p w14:paraId="13903F67" w14:textId="6A6ECD2B" w:rsidR="00CD0056" w:rsidRDefault="00CD0056" w:rsidP="00CD0056">
            <w:pPr>
              <w:contextualSpacing/>
              <w:jc w:val="center"/>
            </w:pPr>
            <w:r w:rsidRPr="00DD4C00">
              <w:rPr>
                <w:rFonts w:asciiTheme="majorHAnsi" w:hAnsiTheme="majorHAnsi" w:cstheme="majorHAnsi"/>
                <w:b/>
                <w:sz w:val="20"/>
                <w:szCs w:val="20"/>
              </w:rPr>
              <w:t>Unit ID No.</w:t>
            </w:r>
          </w:p>
        </w:tc>
        <w:tc>
          <w:tcPr>
            <w:tcW w:w="1800" w:type="dxa"/>
            <w:shd w:val="clear" w:color="auto" w:fill="D9D9D9" w:themeFill="background1" w:themeFillShade="D9"/>
            <w:vAlign w:val="center"/>
          </w:tcPr>
          <w:p w14:paraId="384B7E82" w14:textId="77777777" w:rsidR="00CD0056" w:rsidRDefault="00CD0056" w:rsidP="00CD0056">
            <w:pPr>
              <w:contextualSpacing/>
              <w:jc w:val="center"/>
              <w:rPr>
                <w:rFonts w:asciiTheme="majorHAnsi" w:hAnsiTheme="majorHAnsi" w:cstheme="majorHAnsi"/>
                <w:b/>
                <w:sz w:val="20"/>
                <w:szCs w:val="20"/>
              </w:rPr>
            </w:pPr>
            <w:r w:rsidRPr="00DD4C00">
              <w:rPr>
                <w:rFonts w:asciiTheme="majorHAnsi" w:hAnsiTheme="majorHAnsi" w:cstheme="majorHAnsi"/>
                <w:b/>
                <w:sz w:val="20"/>
                <w:szCs w:val="20"/>
              </w:rPr>
              <w:t>SOP/GOP</w:t>
            </w:r>
          </w:p>
          <w:p w14:paraId="7E8564DC" w14:textId="25FB6481" w:rsidR="00CD0056" w:rsidRDefault="00CD0056" w:rsidP="00CD0056">
            <w:pPr>
              <w:contextualSpacing/>
              <w:jc w:val="center"/>
            </w:pPr>
            <w:r w:rsidRPr="00DD4C00">
              <w:rPr>
                <w:rFonts w:asciiTheme="majorHAnsi" w:hAnsiTheme="majorHAnsi" w:cstheme="majorHAnsi"/>
                <w:b/>
                <w:sz w:val="20"/>
                <w:szCs w:val="20"/>
              </w:rPr>
              <w:t>Index No.</w:t>
            </w:r>
          </w:p>
        </w:tc>
        <w:tc>
          <w:tcPr>
            <w:tcW w:w="1800" w:type="dxa"/>
            <w:shd w:val="clear" w:color="auto" w:fill="D9D9D9" w:themeFill="background1" w:themeFillShade="D9"/>
            <w:vAlign w:val="center"/>
          </w:tcPr>
          <w:p w14:paraId="5E7B39FD" w14:textId="236368F5" w:rsidR="00CD0056" w:rsidRDefault="00CD0056" w:rsidP="00CD0056">
            <w:pPr>
              <w:contextualSpacing/>
              <w:jc w:val="center"/>
            </w:pPr>
            <w:r w:rsidRPr="00DD4C00">
              <w:rPr>
                <w:rFonts w:asciiTheme="majorHAnsi" w:hAnsiTheme="majorHAnsi" w:cstheme="majorHAnsi"/>
                <w:b/>
                <w:sz w:val="20"/>
                <w:szCs w:val="20"/>
              </w:rPr>
              <w:t>BM Subcategory</w:t>
            </w:r>
          </w:p>
        </w:tc>
        <w:tc>
          <w:tcPr>
            <w:tcW w:w="1800" w:type="dxa"/>
            <w:shd w:val="clear" w:color="auto" w:fill="D9D9D9" w:themeFill="background1" w:themeFillShade="D9"/>
            <w:vAlign w:val="center"/>
          </w:tcPr>
          <w:p w14:paraId="386C98AB" w14:textId="37BE50AD" w:rsidR="00CD0056" w:rsidRDefault="00CD0056" w:rsidP="00CD0056">
            <w:pPr>
              <w:contextualSpacing/>
              <w:jc w:val="center"/>
            </w:pPr>
            <w:r w:rsidRPr="00DD4C00">
              <w:rPr>
                <w:rFonts w:asciiTheme="majorHAnsi" w:hAnsiTheme="majorHAnsi" w:cstheme="majorHAnsi"/>
                <w:b/>
                <w:bCs/>
                <w:sz w:val="20"/>
                <w:szCs w:val="20"/>
              </w:rPr>
              <w:t>PM/TSM Emission</w:t>
            </w:r>
          </w:p>
        </w:tc>
        <w:tc>
          <w:tcPr>
            <w:tcW w:w="1800" w:type="dxa"/>
            <w:shd w:val="clear" w:color="auto" w:fill="D9D9D9" w:themeFill="background1" w:themeFillShade="D9"/>
            <w:vAlign w:val="center"/>
          </w:tcPr>
          <w:p w14:paraId="3929B854" w14:textId="1B29D63D" w:rsidR="00CD0056" w:rsidRDefault="00CD0056" w:rsidP="00CD0056">
            <w:pPr>
              <w:contextualSpacing/>
              <w:jc w:val="center"/>
            </w:pPr>
            <w:r w:rsidRPr="00DD4C00">
              <w:rPr>
                <w:rFonts w:asciiTheme="majorHAnsi" w:hAnsiTheme="majorHAnsi" w:cs="Times New Roman"/>
                <w:b/>
                <w:sz w:val="20"/>
                <w:szCs w:val="20"/>
              </w:rPr>
              <w:t>TSM-CMS</w:t>
            </w:r>
          </w:p>
        </w:tc>
        <w:tc>
          <w:tcPr>
            <w:tcW w:w="1800" w:type="dxa"/>
            <w:shd w:val="clear" w:color="auto" w:fill="D9D9D9" w:themeFill="background1" w:themeFillShade="D9"/>
            <w:vAlign w:val="center"/>
          </w:tcPr>
          <w:p w14:paraId="1091510D" w14:textId="2F0CB063" w:rsidR="00CD0056" w:rsidRDefault="00CD0056" w:rsidP="00CD0056">
            <w:pPr>
              <w:contextualSpacing/>
              <w:jc w:val="center"/>
            </w:pPr>
            <w:r w:rsidRPr="00DD4C00">
              <w:rPr>
                <w:rFonts w:asciiTheme="majorHAnsi" w:hAnsiTheme="majorHAnsi" w:cs="Times New Roman"/>
                <w:b/>
                <w:sz w:val="20"/>
                <w:szCs w:val="20"/>
              </w:rPr>
              <w:t>TSM-Test</w:t>
            </w:r>
          </w:p>
        </w:tc>
        <w:tc>
          <w:tcPr>
            <w:tcW w:w="1800" w:type="dxa"/>
            <w:shd w:val="clear" w:color="auto" w:fill="D9D9D9" w:themeFill="background1" w:themeFillShade="D9"/>
            <w:vAlign w:val="center"/>
          </w:tcPr>
          <w:p w14:paraId="31DF0DBB" w14:textId="14D791B8" w:rsidR="00CD0056" w:rsidRDefault="00CD0056" w:rsidP="00CD0056">
            <w:pPr>
              <w:contextualSpacing/>
              <w:jc w:val="center"/>
            </w:pPr>
            <w:r w:rsidRPr="00DD4C00">
              <w:rPr>
                <w:rFonts w:asciiTheme="majorHAnsi" w:hAnsiTheme="majorHAnsi" w:cs="Times New Roman"/>
                <w:b/>
                <w:sz w:val="20"/>
                <w:szCs w:val="20"/>
              </w:rPr>
              <w:t>TSM-FA</w:t>
            </w:r>
          </w:p>
        </w:tc>
      </w:tr>
      <w:tr w:rsidR="00CD0056" w14:paraId="4AA00578" w14:textId="77777777" w:rsidTr="00CD0056">
        <w:trPr>
          <w:cantSplit/>
          <w:trHeight w:val="346"/>
          <w:tblHeader/>
        </w:trPr>
        <w:tc>
          <w:tcPr>
            <w:tcW w:w="1800" w:type="dxa"/>
          </w:tcPr>
          <w:p w14:paraId="5CCE94CB" w14:textId="77777777" w:rsidR="00CD0056" w:rsidRDefault="00CD0056" w:rsidP="00F263FF">
            <w:pPr>
              <w:contextualSpacing/>
            </w:pPr>
          </w:p>
        </w:tc>
        <w:tc>
          <w:tcPr>
            <w:tcW w:w="1800" w:type="dxa"/>
          </w:tcPr>
          <w:p w14:paraId="7C2F1665" w14:textId="77777777" w:rsidR="00CD0056" w:rsidRDefault="00CD0056" w:rsidP="00F263FF">
            <w:pPr>
              <w:contextualSpacing/>
            </w:pPr>
          </w:p>
        </w:tc>
        <w:tc>
          <w:tcPr>
            <w:tcW w:w="1800" w:type="dxa"/>
          </w:tcPr>
          <w:p w14:paraId="357B1B0D" w14:textId="77777777" w:rsidR="00CD0056" w:rsidRDefault="00CD0056" w:rsidP="00F263FF">
            <w:pPr>
              <w:contextualSpacing/>
            </w:pPr>
          </w:p>
        </w:tc>
        <w:tc>
          <w:tcPr>
            <w:tcW w:w="1800" w:type="dxa"/>
          </w:tcPr>
          <w:p w14:paraId="4EC98D06" w14:textId="77777777" w:rsidR="00CD0056" w:rsidRDefault="00CD0056" w:rsidP="00F263FF">
            <w:pPr>
              <w:contextualSpacing/>
            </w:pPr>
          </w:p>
        </w:tc>
        <w:tc>
          <w:tcPr>
            <w:tcW w:w="1800" w:type="dxa"/>
          </w:tcPr>
          <w:p w14:paraId="25340E13" w14:textId="77777777" w:rsidR="00CD0056" w:rsidRDefault="00CD0056" w:rsidP="00F263FF">
            <w:pPr>
              <w:contextualSpacing/>
            </w:pPr>
          </w:p>
        </w:tc>
        <w:tc>
          <w:tcPr>
            <w:tcW w:w="1800" w:type="dxa"/>
          </w:tcPr>
          <w:p w14:paraId="590CC225" w14:textId="77777777" w:rsidR="00CD0056" w:rsidRDefault="00CD0056" w:rsidP="00F263FF">
            <w:pPr>
              <w:contextualSpacing/>
            </w:pPr>
          </w:p>
        </w:tc>
        <w:tc>
          <w:tcPr>
            <w:tcW w:w="1800" w:type="dxa"/>
          </w:tcPr>
          <w:p w14:paraId="5980FE13" w14:textId="77777777" w:rsidR="00CD0056" w:rsidRDefault="00CD0056" w:rsidP="00F263FF">
            <w:pPr>
              <w:contextualSpacing/>
            </w:pPr>
          </w:p>
        </w:tc>
      </w:tr>
      <w:tr w:rsidR="00CD0056" w14:paraId="39C8CD95" w14:textId="77777777" w:rsidTr="00CD0056">
        <w:trPr>
          <w:cantSplit/>
          <w:trHeight w:val="346"/>
          <w:tblHeader/>
        </w:trPr>
        <w:tc>
          <w:tcPr>
            <w:tcW w:w="1800" w:type="dxa"/>
          </w:tcPr>
          <w:p w14:paraId="77FE9B57" w14:textId="77777777" w:rsidR="00CD0056" w:rsidRDefault="00CD0056" w:rsidP="00F263FF">
            <w:pPr>
              <w:contextualSpacing/>
            </w:pPr>
          </w:p>
        </w:tc>
        <w:tc>
          <w:tcPr>
            <w:tcW w:w="1800" w:type="dxa"/>
          </w:tcPr>
          <w:p w14:paraId="7D9A5522" w14:textId="77777777" w:rsidR="00CD0056" w:rsidRDefault="00CD0056" w:rsidP="00F263FF">
            <w:pPr>
              <w:contextualSpacing/>
            </w:pPr>
          </w:p>
        </w:tc>
        <w:tc>
          <w:tcPr>
            <w:tcW w:w="1800" w:type="dxa"/>
          </w:tcPr>
          <w:p w14:paraId="24C0F55C" w14:textId="77777777" w:rsidR="00CD0056" w:rsidRDefault="00CD0056" w:rsidP="00F263FF">
            <w:pPr>
              <w:contextualSpacing/>
            </w:pPr>
          </w:p>
        </w:tc>
        <w:tc>
          <w:tcPr>
            <w:tcW w:w="1800" w:type="dxa"/>
          </w:tcPr>
          <w:p w14:paraId="19919594" w14:textId="77777777" w:rsidR="00CD0056" w:rsidRDefault="00CD0056" w:rsidP="00F263FF">
            <w:pPr>
              <w:contextualSpacing/>
            </w:pPr>
          </w:p>
        </w:tc>
        <w:tc>
          <w:tcPr>
            <w:tcW w:w="1800" w:type="dxa"/>
          </w:tcPr>
          <w:p w14:paraId="0124095D" w14:textId="77777777" w:rsidR="00CD0056" w:rsidRDefault="00CD0056" w:rsidP="00F263FF">
            <w:pPr>
              <w:contextualSpacing/>
            </w:pPr>
          </w:p>
        </w:tc>
        <w:tc>
          <w:tcPr>
            <w:tcW w:w="1800" w:type="dxa"/>
          </w:tcPr>
          <w:p w14:paraId="5E87E9E8" w14:textId="77777777" w:rsidR="00CD0056" w:rsidRDefault="00CD0056" w:rsidP="00F263FF">
            <w:pPr>
              <w:contextualSpacing/>
            </w:pPr>
          </w:p>
        </w:tc>
        <w:tc>
          <w:tcPr>
            <w:tcW w:w="1800" w:type="dxa"/>
          </w:tcPr>
          <w:p w14:paraId="1F25612C" w14:textId="77777777" w:rsidR="00CD0056" w:rsidRDefault="00CD0056" w:rsidP="00F263FF">
            <w:pPr>
              <w:contextualSpacing/>
            </w:pPr>
          </w:p>
        </w:tc>
      </w:tr>
      <w:tr w:rsidR="00CD0056" w14:paraId="72529BCA" w14:textId="77777777" w:rsidTr="00CD0056">
        <w:trPr>
          <w:cantSplit/>
          <w:trHeight w:val="346"/>
          <w:tblHeader/>
        </w:trPr>
        <w:tc>
          <w:tcPr>
            <w:tcW w:w="1800" w:type="dxa"/>
          </w:tcPr>
          <w:p w14:paraId="6783ADDC" w14:textId="77777777" w:rsidR="00CD0056" w:rsidRDefault="00CD0056" w:rsidP="00F263FF">
            <w:pPr>
              <w:contextualSpacing/>
            </w:pPr>
          </w:p>
        </w:tc>
        <w:tc>
          <w:tcPr>
            <w:tcW w:w="1800" w:type="dxa"/>
          </w:tcPr>
          <w:p w14:paraId="41B1BDDE" w14:textId="77777777" w:rsidR="00CD0056" w:rsidRDefault="00CD0056" w:rsidP="00F263FF">
            <w:pPr>
              <w:contextualSpacing/>
            </w:pPr>
          </w:p>
        </w:tc>
        <w:tc>
          <w:tcPr>
            <w:tcW w:w="1800" w:type="dxa"/>
          </w:tcPr>
          <w:p w14:paraId="5ACDCB88" w14:textId="77777777" w:rsidR="00CD0056" w:rsidRDefault="00CD0056" w:rsidP="00F263FF">
            <w:pPr>
              <w:contextualSpacing/>
            </w:pPr>
          </w:p>
        </w:tc>
        <w:tc>
          <w:tcPr>
            <w:tcW w:w="1800" w:type="dxa"/>
          </w:tcPr>
          <w:p w14:paraId="2406111A" w14:textId="77777777" w:rsidR="00CD0056" w:rsidRDefault="00CD0056" w:rsidP="00F263FF">
            <w:pPr>
              <w:contextualSpacing/>
            </w:pPr>
          </w:p>
        </w:tc>
        <w:tc>
          <w:tcPr>
            <w:tcW w:w="1800" w:type="dxa"/>
          </w:tcPr>
          <w:p w14:paraId="17CACD1E" w14:textId="77777777" w:rsidR="00CD0056" w:rsidRDefault="00CD0056" w:rsidP="00F263FF">
            <w:pPr>
              <w:contextualSpacing/>
            </w:pPr>
          </w:p>
        </w:tc>
        <w:tc>
          <w:tcPr>
            <w:tcW w:w="1800" w:type="dxa"/>
          </w:tcPr>
          <w:p w14:paraId="5A2BB3FD" w14:textId="77777777" w:rsidR="00CD0056" w:rsidRDefault="00CD0056" w:rsidP="00F263FF">
            <w:pPr>
              <w:contextualSpacing/>
            </w:pPr>
          </w:p>
        </w:tc>
        <w:tc>
          <w:tcPr>
            <w:tcW w:w="1800" w:type="dxa"/>
          </w:tcPr>
          <w:p w14:paraId="59A4E4AC" w14:textId="77777777" w:rsidR="00CD0056" w:rsidRDefault="00CD0056" w:rsidP="00F263FF">
            <w:pPr>
              <w:contextualSpacing/>
            </w:pPr>
          </w:p>
        </w:tc>
      </w:tr>
      <w:tr w:rsidR="00CD0056" w14:paraId="75C222B8" w14:textId="77777777" w:rsidTr="00CD0056">
        <w:trPr>
          <w:cantSplit/>
          <w:trHeight w:val="346"/>
          <w:tblHeader/>
        </w:trPr>
        <w:tc>
          <w:tcPr>
            <w:tcW w:w="1800" w:type="dxa"/>
          </w:tcPr>
          <w:p w14:paraId="662F9781" w14:textId="77777777" w:rsidR="00CD0056" w:rsidRDefault="00CD0056" w:rsidP="00F263FF">
            <w:pPr>
              <w:contextualSpacing/>
            </w:pPr>
          </w:p>
        </w:tc>
        <w:tc>
          <w:tcPr>
            <w:tcW w:w="1800" w:type="dxa"/>
          </w:tcPr>
          <w:p w14:paraId="4AD42B45" w14:textId="77777777" w:rsidR="00CD0056" w:rsidRDefault="00CD0056" w:rsidP="00F263FF">
            <w:pPr>
              <w:contextualSpacing/>
            </w:pPr>
          </w:p>
        </w:tc>
        <w:tc>
          <w:tcPr>
            <w:tcW w:w="1800" w:type="dxa"/>
          </w:tcPr>
          <w:p w14:paraId="488CD620" w14:textId="77777777" w:rsidR="00CD0056" w:rsidRDefault="00CD0056" w:rsidP="00F263FF">
            <w:pPr>
              <w:contextualSpacing/>
            </w:pPr>
          </w:p>
        </w:tc>
        <w:tc>
          <w:tcPr>
            <w:tcW w:w="1800" w:type="dxa"/>
          </w:tcPr>
          <w:p w14:paraId="5DFF5E38" w14:textId="77777777" w:rsidR="00CD0056" w:rsidRDefault="00CD0056" w:rsidP="00F263FF">
            <w:pPr>
              <w:contextualSpacing/>
            </w:pPr>
          </w:p>
        </w:tc>
        <w:tc>
          <w:tcPr>
            <w:tcW w:w="1800" w:type="dxa"/>
          </w:tcPr>
          <w:p w14:paraId="28CE66F5" w14:textId="77777777" w:rsidR="00CD0056" w:rsidRDefault="00CD0056" w:rsidP="00F263FF">
            <w:pPr>
              <w:contextualSpacing/>
            </w:pPr>
          </w:p>
        </w:tc>
        <w:tc>
          <w:tcPr>
            <w:tcW w:w="1800" w:type="dxa"/>
          </w:tcPr>
          <w:p w14:paraId="11508BF7" w14:textId="77777777" w:rsidR="00CD0056" w:rsidRDefault="00CD0056" w:rsidP="00F263FF">
            <w:pPr>
              <w:contextualSpacing/>
            </w:pPr>
          </w:p>
        </w:tc>
        <w:tc>
          <w:tcPr>
            <w:tcW w:w="1800" w:type="dxa"/>
          </w:tcPr>
          <w:p w14:paraId="5A1636BB" w14:textId="77777777" w:rsidR="00CD0056" w:rsidRDefault="00CD0056" w:rsidP="00F263FF">
            <w:pPr>
              <w:contextualSpacing/>
            </w:pPr>
          </w:p>
        </w:tc>
      </w:tr>
      <w:tr w:rsidR="00CD0056" w14:paraId="6B4BEE27" w14:textId="77777777" w:rsidTr="00CD0056">
        <w:trPr>
          <w:cantSplit/>
          <w:trHeight w:val="346"/>
          <w:tblHeader/>
        </w:trPr>
        <w:tc>
          <w:tcPr>
            <w:tcW w:w="1800" w:type="dxa"/>
          </w:tcPr>
          <w:p w14:paraId="33BAE40E" w14:textId="77777777" w:rsidR="00CD0056" w:rsidRDefault="00CD0056" w:rsidP="00F263FF">
            <w:pPr>
              <w:contextualSpacing/>
            </w:pPr>
          </w:p>
        </w:tc>
        <w:tc>
          <w:tcPr>
            <w:tcW w:w="1800" w:type="dxa"/>
          </w:tcPr>
          <w:p w14:paraId="23CBC6A1" w14:textId="77777777" w:rsidR="00CD0056" w:rsidRDefault="00CD0056" w:rsidP="00F263FF">
            <w:pPr>
              <w:contextualSpacing/>
            </w:pPr>
          </w:p>
        </w:tc>
        <w:tc>
          <w:tcPr>
            <w:tcW w:w="1800" w:type="dxa"/>
          </w:tcPr>
          <w:p w14:paraId="5B8FC449" w14:textId="77777777" w:rsidR="00CD0056" w:rsidRDefault="00CD0056" w:rsidP="00F263FF">
            <w:pPr>
              <w:contextualSpacing/>
            </w:pPr>
          </w:p>
        </w:tc>
        <w:tc>
          <w:tcPr>
            <w:tcW w:w="1800" w:type="dxa"/>
          </w:tcPr>
          <w:p w14:paraId="356A0E65" w14:textId="77777777" w:rsidR="00CD0056" w:rsidRDefault="00CD0056" w:rsidP="00F263FF">
            <w:pPr>
              <w:contextualSpacing/>
            </w:pPr>
          </w:p>
        </w:tc>
        <w:tc>
          <w:tcPr>
            <w:tcW w:w="1800" w:type="dxa"/>
          </w:tcPr>
          <w:p w14:paraId="40B7056B" w14:textId="77777777" w:rsidR="00CD0056" w:rsidRDefault="00CD0056" w:rsidP="00F263FF">
            <w:pPr>
              <w:contextualSpacing/>
            </w:pPr>
          </w:p>
        </w:tc>
        <w:tc>
          <w:tcPr>
            <w:tcW w:w="1800" w:type="dxa"/>
          </w:tcPr>
          <w:p w14:paraId="4857B3B6" w14:textId="77777777" w:rsidR="00CD0056" w:rsidRDefault="00CD0056" w:rsidP="00F263FF">
            <w:pPr>
              <w:contextualSpacing/>
            </w:pPr>
          </w:p>
        </w:tc>
        <w:tc>
          <w:tcPr>
            <w:tcW w:w="1800" w:type="dxa"/>
          </w:tcPr>
          <w:p w14:paraId="67961EC9" w14:textId="77777777" w:rsidR="00CD0056" w:rsidRDefault="00CD0056" w:rsidP="00F263FF">
            <w:pPr>
              <w:contextualSpacing/>
            </w:pPr>
          </w:p>
        </w:tc>
      </w:tr>
      <w:tr w:rsidR="00CD0056" w14:paraId="1DFC8AFF" w14:textId="77777777" w:rsidTr="00CD0056">
        <w:trPr>
          <w:cantSplit/>
          <w:trHeight w:val="346"/>
          <w:tblHeader/>
        </w:trPr>
        <w:tc>
          <w:tcPr>
            <w:tcW w:w="1800" w:type="dxa"/>
          </w:tcPr>
          <w:p w14:paraId="5AFC4048" w14:textId="77777777" w:rsidR="00CD0056" w:rsidRDefault="00CD0056" w:rsidP="00F263FF">
            <w:pPr>
              <w:contextualSpacing/>
            </w:pPr>
          </w:p>
        </w:tc>
        <w:tc>
          <w:tcPr>
            <w:tcW w:w="1800" w:type="dxa"/>
          </w:tcPr>
          <w:p w14:paraId="1A3AFC93" w14:textId="77777777" w:rsidR="00CD0056" w:rsidRDefault="00CD0056" w:rsidP="00F263FF">
            <w:pPr>
              <w:contextualSpacing/>
            </w:pPr>
          </w:p>
        </w:tc>
        <w:tc>
          <w:tcPr>
            <w:tcW w:w="1800" w:type="dxa"/>
          </w:tcPr>
          <w:p w14:paraId="63F854E3" w14:textId="77777777" w:rsidR="00CD0056" w:rsidRDefault="00CD0056" w:rsidP="00F263FF">
            <w:pPr>
              <w:contextualSpacing/>
            </w:pPr>
          </w:p>
        </w:tc>
        <w:tc>
          <w:tcPr>
            <w:tcW w:w="1800" w:type="dxa"/>
          </w:tcPr>
          <w:p w14:paraId="48DD7F3A" w14:textId="77777777" w:rsidR="00CD0056" w:rsidRDefault="00CD0056" w:rsidP="00F263FF">
            <w:pPr>
              <w:contextualSpacing/>
            </w:pPr>
          </w:p>
        </w:tc>
        <w:tc>
          <w:tcPr>
            <w:tcW w:w="1800" w:type="dxa"/>
          </w:tcPr>
          <w:p w14:paraId="7466AA16" w14:textId="77777777" w:rsidR="00CD0056" w:rsidRDefault="00CD0056" w:rsidP="00F263FF">
            <w:pPr>
              <w:contextualSpacing/>
            </w:pPr>
          </w:p>
        </w:tc>
        <w:tc>
          <w:tcPr>
            <w:tcW w:w="1800" w:type="dxa"/>
          </w:tcPr>
          <w:p w14:paraId="2197FBEA" w14:textId="77777777" w:rsidR="00CD0056" w:rsidRDefault="00CD0056" w:rsidP="00F263FF">
            <w:pPr>
              <w:contextualSpacing/>
            </w:pPr>
          </w:p>
        </w:tc>
        <w:tc>
          <w:tcPr>
            <w:tcW w:w="1800" w:type="dxa"/>
          </w:tcPr>
          <w:p w14:paraId="5EA80577" w14:textId="77777777" w:rsidR="00CD0056" w:rsidRDefault="00CD0056" w:rsidP="00F263FF">
            <w:pPr>
              <w:contextualSpacing/>
            </w:pPr>
          </w:p>
        </w:tc>
      </w:tr>
      <w:tr w:rsidR="00CD0056" w14:paraId="38954703" w14:textId="77777777" w:rsidTr="00CD0056">
        <w:trPr>
          <w:cantSplit/>
          <w:trHeight w:val="346"/>
          <w:tblHeader/>
        </w:trPr>
        <w:tc>
          <w:tcPr>
            <w:tcW w:w="1800" w:type="dxa"/>
          </w:tcPr>
          <w:p w14:paraId="7C6D0DC2" w14:textId="77777777" w:rsidR="00CD0056" w:rsidRDefault="00CD0056" w:rsidP="00F263FF">
            <w:pPr>
              <w:contextualSpacing/>
            </w:pPr>
          </w:p>
        </w:tc>
        <w:tc>
          <w:tcPr>
            <w:tcW w:w="1800" w:type="dxa"/>
          </w:tcPr>
          <w:p w14:paraId="7EB5C35C" w14:textId="77777777" w:rsidR="00CD0056" w:rsidRDefault="00CD0056" w:rsidP="00F263FF">
            <w:pPr>
              <w:contextualSpacing/>
            </w:pPr>
          </w:p>
        </w:tc>
        <w:tc>
          <w:tcPr>
            <w:tcW w:w="1800" w:type="dxa"/>
          </w:tcPr>
          <w:p w14:paraId="1E14923E" w14:textId="77777777" w:rsidR="00CD0056" w:rsidRDefault="00CD0056" w:rsidP="00F263FF">
            <w:pPr>
              <w:contextualSpacing/>
            </w:pPr>
          </w:p>
        </w:tc>
        <w:tc>
          <w:tcPr>
            <w:tcW w:w="1800" w:type="dxa"/>
          </w:tcPr>
          <w:p w14:paraId="163B04B5" w14:textId="77777777" w:rsidR="00CD0056" w:rsidRDefault="00CD0056" w:rsidP="00F263FF">
            <w:pPr>
              <w:contextualSpacing/>
            </w:pPr>
          </w:p>
        </w:tc>
        <w:tc>
          <w:tcPr>
            <w:tcW w:w="1800" w:type="dxa"/>
          </w:tcPr>
          <w:p w14:paraId="71303F5C" w14:textId="77777777" w:rsidR="00CD0056" w:rsidRDefault="00CD0056" w:rsidP="00F263FF">
            <w:pPr>
              <w:contextualSpacing/>
            </w:pPr>
          </w:p>
        </w:tc>
        <w:tc>
          <w:tcPr>
            <w:tcW w:w="1800" w:type="dxa"/>
          </w:tcPr>
          <w:p w14:paraId="62FBA1AF" w14:textId="77777777" w:rsidR="00CD0056" w:rsidRDefault="00CD0056" w:rsidP="00F263FF">
            <w:pPr>
              <w:contextualSpacing/>
            </w:pPr>
          </w:p>
        </w:tc>
        <w:tc>
          <w:tcPr>
            <w:tcW w:w="1800" w:type="dxa"/>
          </w:tcPr>
          <w:p w14:paraId="6A769AC0" w14:textId="77777777" w:rsidR="00CD0056" w:rsidRDefault="00CD0056" w:rsidP="00F263FF">
            <w:pPr>
              <w:contextualSpacing/>
            </w:pPr>
          </w:p>
        </w:tc>
      </w:tr>
      <w:tr w:rsidR="00CD0056" w14:paraId="7B734674" w14:textId="77777777" w:rsidTr="00CD0056">
        <w:trPr>
          <w:cantSplit/>
          <w:trHeight w:val="346"/>
          <w:tblHeader/>
        </w:trPr>
        <w:tc>
          <w:tcPr>
            <w:tcW w:w="1800" w:type="dxa"/>
          </w:tcPr>
          <w:p w14:paraId="51D219A7" w14:textId="77777777" w:rsidR="00CD0056" w:rsidRDefault="00CD0056" w:rsidP="00F263FF">
            <w:pPr>
              <w:contextualSpacing/>
            </w:pPr>
          </w:p>
        </w:tc>
        <w:tc>
          <w:tcPr>
            <w:tcW w:w="1800" w:type="dxa"/>
          </w:tcPr>
          <w:p w14:paraId="042EF42A" w14:textId="77777777" w:rsidR="00CD0056" w:rsidRDefault="00CD0056" w:rsidP="00F263FF">
            <w:pPr>
              <w:contextualSpacing/>
            </w:pPr>
          </w:p>
        </w:tc>
        <w:tc>
          <w:tcPr>
            <w:tcW w:w="1800" w:type="dxa"/>
          </w:tcPr>
          <w:p w14:paraId="1859903B" w14:textId="77777777" w:rsidR="00CD0056" w:rsidRDefault="00CD0056" w:rsidP="00F263FF">
            <w:pPr>
              <w:contextualSpacing/>
            </w:pPr>
          </w:p>
        </w:tc>
        <w:tc>
          <w:tcPr>
            <w:tcW w:w="1800" w:type="dxa"/>
          </w:tcPr>
          <w:p w14:paraId="3EFED7EA" w14:textId="77777777" w:rsidR="00CD0056" w:rsidRDefault="00CD0056" w:rsidP="00F263FF">
            <w:pPr>
              <w:contextualSpacing/>
            </w:pPr>
          </w:p>
        </w:tc>
        <w:tc>
          <w:tcPr>
            <w:tcW w:w="1800" w:type="dxa"/>
          </w:tcPr>
          <w:p w14:paraId="51ADF37D" w14:textId="77777777" w:rsidR="00CD0056" w:rsidRDefault="00CD0056" w:rsidP="00F263FF">
            <w:pPr>
              <w:contextualSpacing/>
            </w:pPr>
          </w:p>
        </w:tc>
        <w:tc>
          <w:tcPr>
            <w:tcW w:w="1800" w:type="dxa"/>
          </w:tcPr>
          <w:p w14:paraId="1962E731" w14:textId="77777777" w:rsidR="00CD0056" w:rsidRDefault="00CD0056" w:rsidP="00F263FF">
            <w:pPr>
              <w:contextualSpacing/>
            </w:pPr>
          </w:p>
        </w:tc>
        <w:tc>
          <w:tcPr>
            <w:tcW w:w="1800" w:type="dxa"/>
          </w:tcPr>
          <w:p w14:paraId="024C020B" w14:textId="77777777" w:rsidR="00CD0056" w:rsidRDefault="00CD0056" w:rsidP="00F263FF">
            <w:pPr>
              <w:contextualSpacing/>
            </w:pPr>
          </w:p>
        </w:tc>
      </w:tr>
      <w:tr w:rsidR="00CD0056" w14:paraId="59493D1E" w14:textId="77777777" w:rsidTr="00CD0056">
        <w:trPr>
          <w:cantSplit/>
          <w:trHeight w:val="346"/>
          <w:tblHeader/>
        </w:trPr>
        <w:tc>
          <w:tcPr>
            <w:tcW w:w="1800" w:type="dxa"/>
          </w:tcPr>
          <w:p w14:paraId="1062C9D4" w14:textId="77777777" w:rsidR="00CD0056" w:rsidRDefault="00CD0056" w:rsidP="00F263FF">
            <w:pPr>
              <w:contextualSpacing/>
            </w:pPr>
          </w:p>
        </w:tc>
        <w:tc>
          <w:tcPr>
            <w:tcW w:w="1800" w:type="dxa"/>
          </w:tcPr>
          <w:p w14:paraId="38E57CE5" w14:textId="77777777" w:rsidR="00CD0056" w:rsidRDefault="00CD0056" w:rsidP="00F263FF">
            <w:pPr>
              <w:contextualSpacing/>
            </w:pPr>
          </w:p>
        </w:tc>
        <w:tc>
          <w:tcPr>
            <w:tcW w:w="1800" w:type="dxa"/>
          </w:tcPr>
          <w:p w14:paraId="56F51D7B" w14:textId="77777777" w:rsidR="00CD0056" w:rsidRDefault="00CD0056" w:rsidP="00F263FF">
            <w:pPr>
              <w:contextualSpacing/>
            </w:pPr>
          </w:p>
        </w:tc>
        <w:tc>
          <w:tcPr>
            <w:tcW w:w="1800" w:type="dxa"/>
          </w:tcPr>
          <w:p w14:paraId="1478CBAE" w14:textId="77777777" w:rsidR="00CD0056" w:rsidRDefault="00CD0056" w:rsidP="00F263FF">
            <w:pPr>
              <w:contextualSpacing/>
            </w:pPr>
          </w:p>
        </w:tc>
        <w:tc>
          <w:tcPr>
            <w:tcW w:w="1800" w:type="dxa"/>
          </w:tcPr>
          <w:p w14:paraId="792A9D70" w14:textId="77777777" w:rsidR="00CD0056" w:rsidRDefault="00CD0056" w:rsidP="00F263FF">
            <w:pPr>
              <w:contextualSpacing/>
            </w:pPr>
          </w:p>
        </w:tc>
        <w:tc>
          <w:tcPr>
            <w:tcW w:w="1800" w:type="dxa"/>
          </w:tcPr>
          <w:p w14:paraId="72E6B99C" w14:textId="77777777" w:rsidR="00CD0056" w:rsidRDefault="00CD0056" w:rsidP="00F263FF">
            <w:pPr>
              <w:contextualSpacing/>
            </w:pPr>
          </w:p>
        </w:tc>
        <w:tc>
          <w:tcPr>
            <w:tcW w:w="1800" w:type="dxa"/>
          </w:tcPr>
          <w:p w14:paraId="186B937B" w14:textId="77777777" w:rsidR="00CD0056" w:rsidRDefault="00CD0056" w:rsidP="00F263FF">
            <w:pPr>
              <w:contextualSpacing/>
            </w:pPr>
          </w:p>
        </w:tc>
      </w:tr>
      <w:tr w:rsidR="00CD0056" w14:paraId="7BC4172C" w14:textId="77777777" w:rsidTr="00CD0056">
        <w:trPr>
          <w:cantSplit/>
          <w:trHeight w:val="346"/>
          <w:tblHeader/>
        </w:trPr>
        <w:tc>
          <w:tcPr>
            <w:tcW w:w="1800" w:type="dxa"/>
          </w:tcPr>
          <w:p w14:paraId="69BA8C86" w14:textId="77777777" w:rsidR="00CD0056" w:rsidRDefault="00CD0056" w:rsidP="00F263FF">
            <w:pPr>
              <w:contextualSpacing/>
            </w:pPr>
          </w:p>
        </w:tc>
        <w:tc>
          <w:tcPr>
            <w:tcW w:w="1800" w:type="dxa"/>
          </w:tcPr>
          <w:p w14:paraId="34ADEEB6" w14:textId="77777777" w:rsidR="00CD0056" w:rsidRDefault="00CD0056" w:rsidP="00F263FF">
            <w:pPr>
              <w:contextualSpacing/>
            </w:pPr>
          </w:p>
        </w:tc>
        <w:tc>
          <w:tcPr>
            <w:tcW w:w="1800" w:type="dxa"/>
          </w:tcPr>
          <w:p w14:paraId="0FAB8387" w14:textId="77777777" w:rsidR="00CD0056" w:rsidRDefault="00CD0056" w:rsidP="00F263FF">
            <w:pPr>
              <w:contextualSpacing/>
            </w:pPr>
          </w:p>
        </w:tc>
        <w:tc>
          <w:tcPr>
            <w:tcW w:w="1800" w:type="dxa"/>
          </w:tcPr>
          <w:p w14:paraId="41E1897D" w14:textId="77777777" w:rsidR="00CD0056" w:rsidRDefault="00CD0056" w:rsidP="00F263FF">
            <w:pPr>
              <w:contextualSpacing/>
            </w:pPr>
          </w:p>
        </w:tc>
        <w:tc>
          <w:tcPr>
            <w:tcW w:w="1800" w:type="dxa"/>
          </w:tcPr>
          <w:p w14:paraId="04646A23" w14:textId="77777777" w:rsidR="00CD0056" w:rsidRDefault="00CD0056" w:rsidP="00F263FF">
            <w:pPr>
              <w:contextualSpacing/>
            </w:pPr>
          </w:p>
        </w:tc>
        <w:tc>
          <w:tcPr>
            <w:tcW w:w="1800" w:type="dxa"/>
          </w:tcPr>
          <w:p w14:paraId="1B487F82" w14:textId="77777777" w:rsidR="00CD0056" w:rsidRDefault="00CD0056" w:rsidP="00F263FF">
            <w:pPr>
              <w:contextualSpacing/>
            </w:pPr>
          </w:p>
        </w:tc>
        <w:tc>
          <w:tcPr>
            <w:tcW w:w="1800" w:type="dxa"/>
          </w:tcPr>
          <w:p w14:paraId="475059F2" w14:textId="77777777" w:rsidR="00CD0056" w:rsidRDefault="00CD0056" w:rsidP="00F263FF">
            <w:pPr>
              <w:contextualSpacing/>
            </w:pPr>
          </w:p>
        </w:tc>
      </w:tr>
    </w:tbl>
    <w:p w14:paraId="4BF866E5" w14:textId="77777777" w:rsidR="00CD0056" w:rsidRPr="00DD4C00" w:rsidRDefault="00CD0056" w:rsidP="00B85B51">
      <w:pPr>
        <w:spacing w:after="0"/>
        <w:rPr>
          <w:sz w:val="20"/>
          <w:szCs w:val="20"/>
        </w:rPr>
      </w:pPr>
    </w:p>
    <w:p w14:paraId="6EF553DF" w14:textId="14AE52E7" w:rsidR="00DD4C00" w:rsidRPr="00DD4C00" w:rsidRDefault="00DD4C00" w:rsidP="00DD4C00">
      <w:pPr>
        <w:rPr>
          <w:rFonts w:asciiTheme="majorHAnsi" w:hAnsiTheme="majorHAnsi" w:cstheme="majorHAnsi"/>
          <w:b/>
        </w:rPr>
      </w:pPr>
      <w:r w:rsidRPr="00DD4C00">
        <w:rPr>
          <w:rFonts w:asciiTheme="majorHAnsi" w:hAnsiTheme="majorHAnsi" w:cstheme="majorHAnsi"/>
          <w:b/>
        </w:rPr>
        <w:br w:type="page"/>
      </w:r>
    </w:p>
    <w:p w14:paraId="0973F140" w14:textId="77777777" w:rsidR="00DD4C00" w:rsidRPr="00DD4C00" w:rsidRDefault="00DD4C00" w:rsidP="00A82BE1">
      <w:pPr>
        <w:spacing w:after="0"/>
        <w:jc w:val="center"/>
        <w:outlineLvl w:val="0"/>
        <w:rPr>
          <w:rFonts w:asciiTheme="majorHAnsi" w:hAnsiTheme="majorHAnsi" w:cstheme="majorHAnsi"/>
          <w:b/>
          <w:szCs w:val="24"/>
        </w:rPr>
      </w:pPr>
      <w:r w:rsidRPr="00DD4C00">
        <w:rPr>
          <w:rFonts w:asciiTheme="majorHAnsi" w:hAnsiTheme="majorHAnsi" w:cstheme="majorHAnsi"/>
          <w:b/>
          <w:szCs w:val="24"/>
        </w:rPr>
        <w:lastRenderedPageBreak/>
        <w:t>Process Heater/Furnace Attributes</w:t>
      </w:r>
    </w:p>
    <w:p w14:paraId="3FFAD7F3" w14:textId="77777777" w:rsidR="00DD4C00" w:rsidRPr="00DD4C00" w:rsidRDefault="00DD4C00" w:rsidP="00A82BE1">
      <w:pPr>
        <w:spacing w:after="0"/>
        <w:jc w:val="center"/>
        <w:outlineLvl w:val="0"/>
        <w:rPr>
          <w:rFonts w:asciiTheme="majorHAnsi" w:hAnsiTheme="majorHAnsi" w:cstheme="majorHAnsi"/>
          <w:b/>
          <w:szCs w:val="24"/>
        </w:rPr>
      </w:pPr>
      <w:r w:rsidRPr="00DD4C00">
        <w:rPr>
          <w:rFonts w:asciiTheme="majorHAnsi" w:hAnsiTheme="majorHAnsi" w:cstheme="majorHAnsi"/>
          <w:b/>
          <w:szCs w:val="24"/>
        </w:rPr>
        <w:t>Form OP-UA5 (Page 14)</w:t>
      </w:r>
    </w:p>
    <w:p w14:paraId="153B6BDB" w14:textId="77777777" w:rsidR="00DD4C00" w:rsidRPr="00DD4C00" w:rsidRDefault="00DD4C00" w:rsidP="00A82BE1">
      <w:pPr>
        <w:spacing w:after="0"/>
        <w:contextualSpacing/>
        <w:jc w:val="center"/>
        <w:outlineLvl w:val="0"/>
        <w:rPr>
          <w:b/>
          <w:bCs/>
        </w:rPr>
      </w:pPr>
      <w:r w:rsidRPr="00DD4C00">
        <w:rPr>
          <w:b/>
          <w:bCs/>
        </w:rPr>
        <w:t>Federal Operating Permit Program</w:t>
      </w:r>
    </w:p>
    <w:p w14:paraId="23A57D96" w14:textId="77777777" w:rsidR="00DD4C00" w:rsidRPr="00DD4C00" w:rsidRDefault="00DD4C00" w:rsidP="00A82BE1">
      <w:pPr>
        <w:spacing w:after="0"/>
        <w:contextualSpacing/>
        <w:jc w:val="center"/>
        <w:outlineLvl w:val="0"/>
        <w:rPr>
          <w:b/>
          <w:bCs/>
        </w:rPr>
      </w:pPr>
      <w:bookmarkStart w:id="48" w:name="TBL6e"/>
      <w:r w:rsidRPr="00DD4C00">
        <w:rPr>
          <w:b/>
          <w:bCs/>
        </w:rPr>
        <w:t>Table 6e</w:t>
      </w:r>
      <w:bookmarkEnd w:id="48"/>
      <w:r w:rsidRPr="00DD4C00">
        <w:rPr>
          <w:b/>
          <w:bCs/>
        </w:rPr>
        <w:t>:  Title 40 Code of Federal Regulations Part 63 (40 CFR Part 63)</w:t>
      </w:r>
    </w:p>
    <w:p w14:paraId="1ECFB2D8" w14:textId="2A7971E0" w:rsidR="00DD4C00" w:rsidRDefault="00DD4C00" w:rsidP="00A82BE1">
      <w:pPr>
        <w:spacing w:after="0"/>
        <w:contextualSpacing/>
        <w:jc w:val="center"/>
        <w:outlineLvl w:val="0"/>
        <w:rPr>
          <w:b/>
          <w:bCs/>
        </w:rPr>
      </w:pPr>
      <w:r w:rsidRPr="00DD4C00">
        <w:rPr>
          <w:b/>
          <w:bCs/>
        </w:rPr>
        <w:t xml:space="preserve">Subchapter DDDDD:  Industrial, Commercial, and </w:t>
      </w:r>
      <w:r w:rsidR="00E252A0">
        <w:rPr>
          <w:b/>
          <w:bCs/>
        </w:rPr>
        <w:t>Institutional</w:t>
      </w:r>
      <w:r w:rsidR="00E252A0" w:rsidRPr="00DD4C00">
        <w:rPr>
          <w:b/>
          <w:bCs/>
        </w:rPr>
        <w:t xml:space="preserve"> </w:t>
      </w:r>
      <w:r w:rsidRPr="00DD4C00">
        <w:rPr>
          <w:b/>
          <w:bCs/>
        </w:rPr>
        <w:t>Process Heaters</w:t>
      </w:r>
    </w:p>
    <w:p w14:paraId="49D11251" w14:textId="77777777" w:rsidR="00A82BE1" w:rsidRPr="00DD4C00" w:rsidRDefault="00A82BE1" w:rsidP="00A82BE1">
      <w:pPr>
        <w:spacing w:after="0"/>
        <w:contextualSpacing/>
        <w:jc w:val="center"/>
        <w:outlineLvl w:val="0"/>
        <w:rPr>
          <w:rFonts w:eastAsia="Times New Roman" w:cs="Times New Roman"/>
          <w:b/>
          <w:bCs/>
          <w:lang w:bidi="en-US"/>
        </w:rPr>
      </w:pPr>
      <w:r w:rsidRPr="00DD4C00">
        <w:rPr>
          <w:rFonts w:eastAsia="Times New Roman" w:cs="Times New Roman"/>
          <w:b/>
          <w:bCs/>
          <w:lang w:bidi="en-US"/>
        </w:rPr>
        <w:t>Texas Commission on Environmental Quality</w:t>
      </w:r>
    </w:p>
    <w:p w14:paraId="210CC9A9" w14:textId="77777777" w:rsidR="00DD4C00" w:rsidRPr="00DD4C00" w:rsidRDefault="00DD4C00" w:rsidP="00CD0056">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e:  Title 40 Code of Federal Regulations Part 63 (40 CFR Part 63)&#10;Subchapter DDDDD:  Industrial, Commercial, and Institutional Process Heaters&#10;&#10;&#10;&#10;&#10;&#10;&#10;"/>
      </w:tblPr>
      <w:tblGrid>
        <w:gridCol w:w="4800"/>
        <w:gridCol w:w="4800"/>
        <w:gridCol w:w="4800"/>
      </w:tblGrid>
      <w:tr w:rsidR="0093034F" w:rsidRPr="00756A95" w14:paraId="408B59B0" w14:textId="77777777" w:rsidTr="00F263FF">
        <w:trPr>
          <w:cantSplit/>
          <w:tblHeader/>
        </w:trPr>
        <w:tc>
          <w:tcPr>
            <w:tcW w:w="4800" w:type="dxa"/>
            <w:shd w:val="clear" w:color="auto" w:fill="D9D9D9" w:themeFill="background1" w:themeFillShade="D9"/>
          </w:tcPr>
          <w:p w14:paraId="0E22307C"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50AACD5A"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4394DA66"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10929846" w14:textId="77777777" w:rsidTr="00F263FF">
        <w:trPr>
          <w:cantSplit/>
          <w:tblHeader/>
        </w:trPr>
        <w:tc>
          <w:tcPr>
            <w:tcW w:w="4800" w:type="dxa"/>
          </w:tcPr>
          <w:p w14:paraId="3CFC9E96" w14:textId="77777777" w:rsidR="0093034F" w:rsidRDefault="0093034F" w:rsidP="00F263FF">
            <w:pPr>
              <w:rPr>
                <w:rFonts w:asciiTheme="majorHAnsi" w:hAnsiTheme="majorHAnsi" w:cstheme="majorHAnsi"/>
              </w:rPr>
            </w:pPr>
          </w:p>
        </w:tc>
        <w:tc>
          <w:tcPr>
            <w:tcW w:w="4800" w:type="dxa"/>
          </w:tcPr>
          <w:p w14:paraId="425CBEAD" w14:textId="77777777" w:rsidR="0093034F" w:rsidRDefault="0093034F" w:rsidP="00F263FF">
            <w:pPr>
              <w:rPr>
                <w:rFonts w:asciiTheme="majorHAnsi" w:hAnsiTheme="majorHAnsi" w:cstheme="majorHAnsi"/>
              </w:rPr>
            </w:pPr>
          </w:p>
        </w:tc>
        <w:tc>
          <w:tcPr>
            <w:tcW w:w="4800" w:type="dxa"/>
          </w:tcPr>
          <w:p w14:paraId="7B0BD90C" w14:textId="77777777" w:rsidR="0093034F" w:rsidRDefault="0093034F" w:rsidP="00F263FF">
            <w:pPr>
              <w:rPr>
                <w:rFonts w:asciiTheme="majorHAnsi" w:hAnsiTheme="majorHAnsi" w:cstheme="majorHAnsi"/>
              </w:rPr>
            </w:pPr>
          </w:p>
        </w:tc>
      </w:tr>
    </w:tbl>
    <w:p w14:paraId="1316FA92" w14:textId="78FFD866" w:rsidR="00DD4C00" w:rsidRDefault="00DD4C00" w:rsidP="00DD4C00">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e:  Title 40 Code of Federal Regulations Part 63 (40 CFR Part 63)&#10;Subchapter DDDDD:  Industrial, Commercial, and Institutional Process Heaters&#10;"/>
      </w:tblPr>
      <w:tblGrid>
        <w:gridCol w:w="1800"/>
        <w:gridCol w:w="1800"/>
        <w:gridCol w:w="1800"/>
        <w:gridCol w:w="1800"/>
        <w:gridCol w:w="1800"/>
        <w:gridCol w:w="1800"/>
        <w:gridCol w:w="1800"/>
        <w:gridCol w:w="1800"/>
      </w:tblGrid>
      <w:tr w:rsidR="00CD0056" w14:paraId="132509FC" w14:textId="77777777" w:rsidTr="00CD0056">
        <w:trPr>
          <w:cantSplit/>
          <w:tblHeader/>
        </w:trPr>
        <w:tc>
          <w:tcPr>
            <w:tcW w:w="1800" w:type="dxa"/>
            <w:shd w:val="clear" w:color="auto" w:fill="D9D9D9" w:themeFill="background1" w:themeFillShade="D9"/>
            <w:vAlign w:val="center"/>
          </w:tcPr>
          <w:p w14:paraId="38927190" w14:textId="173A3D13" w:rsidR="00CD0056" w:rsidRDefault="00CD0056" w:rsidP="00CD0056">
            <w:pPr>
              <w:jc w:val="center"/>
            </w:pPr>
            <w:r w:rsidRPr="00DD4C00">
              <w:rPr>
                <w:rFonts w:asciiTheme="majorHAnsi" w:hAnsiTheme="majorHAnsi" w:cstheme="majorHAnsi"/>
                <w:b/>
                <w:sz w:val="20"/>
                <w:szCs w:val="20"/>
              </w:rPr>
              <w:t>Unit ID No.</w:t>
            </w:r>
          </w:p>
        </w:tc>
        <w:tc>
          <w:tcPr>
            <w:tcW w:w="1800" w:type="dxa"/>
            <w:shd w:val="clear" w:color="auto" w:fill="D9D9D9" w:themeFill="background1" w:themeFillShade="D9"/>
            <w:vAlign w:val="center"/>
          </w:tcPr>
          <w:p w14:paraId="3CB19920" w14:textId="77777777" w:rsidR="00CD0056" w:rsidRDefault="00CD0056" w:rsidP="00CD0056">
            <w:pPr>
              <w:jc w:val="center"/>
              <w:rPr>
                <w:rFonts w:asciiTheme="majorHAnsi" w:hAnsiTheme="majorHAnsi" w:cstheme="majorHAnsi"/>
                <w:b/>
                <w:sz w:val="20"/>
                <w:szCs w:val="20"/>
              </w:rPr>
            </w:pPr>
            <w:r w:rsidRPr="00DD4C00">
              <w:rPr>
                <w:rFonts w:asciiTheme="majorHAnsi" w:hAnsiTheme="majorHAnsi" w:cstheme="majorHAnsi"/>
                <w:b/>
                <w:sz w:val="20"/>
                <w:szCs w:val="20"/>
              </w:rPr>
              <w:t>SOP/GOP</w:t>
            </w:r>
          </w:p>
          <w:p w14:paraId="651B7322" w14:textId="0FB8B983" w:rsidR="00CD0056" w:rsidRDefault="00CD0056" w:rsidP="00CD0056">
            <w:pPr>
              <w:jc w:val="center"/>
            </w:pPr>
            <w:r w:rsidRPr="00DD4C00">
              <w:rPr>
                <w:rFonts w:asciiTheme="majorHAnsi" w:hAnsiTheme="majorHAnsi" w:cstheme="majorHAnsi"/>
                <w:b/>
                <w:sz w:val="20"/>
                <w:szCs w:val="20"/>
              </w:rPr>
              <w:t>Index No.</w:t>
            </w:r>
          </w:p>
        </w:tc>
        <w:tc>
          <w:tcPr>
            <w:tcW w:w="1800" w:type="dxa"/>
            <w:shd w:val="clear" w:color="auto" w:fill="D9D9D9" w:themeFill="background1" w:themeFillShade="D9"/>
            <w:vAlign w:val="center"/>
          </w:tcPr>
          <w:p w14:paraId="691CC6AD" w14:textId="6C7800B9" w:rsidR="00CD0056" w:rsidRDefault="00CD0056" w:rsidP="00CD0056">
            <w:pPr>
              <w:jc w:val="center"/>
            </w:pPr>
            <w:r w:rsidRPr="00DD4C00">
              <w:rPr>
                <w:rFonts w:asciiTheme="majorHAnsi" w:hAnsiTheme="majorHAnsi" w:cstheme="majorHAnsi"/>
                <w:b/>
                <w:sz w:val="20"/>
                <w:szCs w:val="20"/>
              </w:rPr>
              <w:t>PM-250</w:t>
            </w:r>
          </w:p>
        </w:tc>
        <w:tc>
          <w:tcPr>
            <w:tcW w:w="1800" w:type="dxa"/>
            <w:shd w:val="clear" w:color="auto" w:fill="D9D9D9" w:themeFill="background1" w:themeFillShade="D9"/>
            <w:vAlign w:val="center"/>
          </w:tcPr>
          <w:p w14:paraId="0FFEC732" w14:textId="446AFBED" w:rsidR="00CD0056" w:rsidRDefault="00CD0056" w:rsidP="00CD0056">
            <w:pPr>
              <w:jc w:val="center"/>
            </w:pPr>
            <w:r w:rsidRPr="00DD4C00">
              <w:rPr>
                <w:rFonts w:asciiTheme="majorHAnsi" w:hAnsiTheme="majorHAnsi" w:cstheme="majorHAnsi"/>
                <w:b/>
                <w:sz w:val="20"/>
                <w:szCs w:val="20"/>
              </w:rPr>
              <w:t>PM-CMS</w:t>
            </w:r>
          </w:p>
        </w:tc>
        <w:tc>
          <w:tcPr>
            <w:tcW w:w="1800" w:type="dxa"/>
            <w:shd w:val="clear" w:color="auto" w:fill="D9D9D9" w:themeFill="background1" w:themeFillShade="D9"/>
            <w:vAlign w:val="center"/>
          </w:tcPr>
          <w:p w14:paraId="3C2C95AB" w14:textId="225A3F4D" w:rsidR="00CD0056" w:rsidRDefault="00CD0056" w:rsidP="00CD0056">
            <w:pPr>
              <w:jc w:val="center"/>
            </w:pPr>
            <w:r w:rsidRPr="00DD4C00">
              <w:rPr>
                <w:rFonts w:asciiTheme="majorHAnsi" w:hAnsiTheme="majorHAnsi" w:cstheme="majorHAnsi"/>
                <w:b/>
                <w:sz w:val="20"/>
                <w:szCs w:val="20"/>
              </w:rPr>
              <w:t>PM-CD</w:t>
            </w:r>
          </w:p>
        </w:tc>
        <w:tc>
          <w:tcPr>
            <w:tcW w:w="1800" w:type="dxa"/>
            <w:shd w:val="clear" w:color="auto" w:fill="D9D9D9" w:themeFill="background1" w:themeFillShade="D9"/>
            <w:vAlign w:val="center"/>
          </w:tcPr>
          <w:p w14:paraId="1576860F" w14:textId="2877F502" w:rsidR="00CD0056" w:rsidRDefault="00CD0056" w:rsidP="00CD0056">
            <w:pPr>
              <w:jc w:val="center"/>
            </w:pPr>
            <w:r w:rsidRPr="00DD4C00">
              <w:rPr>
                <w:rFonts w:asciiTheme="majorHAnsi" w:hAnsiTheme="majorHAnsi" w:cstheme="majorHAnsi"/>
                <w:b/>
                <w:sz w:val="20"/>
                <w:szCs w:val="20"/>
              </w:rPr>
              <w:t>PM-Test</w:t>
            </w:r>
          </w:p>
        </w:tc>
        <w:tc>
          <w:tcPr>
            <w:tcW w:w="1800" w:type="dxa"/>
            <w:shd w:val="clear" w:color="auto" w:fill="D9D9D9" w:themeFill="background1" w:themeFillShade="D9"/>
            <w:vAlign w:val="center"/>
          </w:tcPr>
          <w:p w14:paraId="7F01A51E" w14:textId="01D1CC0B" w:rsidR="00CD0056" w:rsidRDefault="00CD0056" w:rsidP="00CD0056">
            <w:pPr>
              <w:jc w:val="center"/>
            </w:pPr>
            <w:r w:rsidRPr="00DD4C00">
              <w:rPr>
                <w:rFonts w:asciiTheme="majorHAnsi" w:hAnsiTheme="majorHAnsi" w:cstheme="majorHAnsi"/>
                <w:b/>
                <w:sz w:val="20"/>
                <w:szCs w:val="20"/>
              </w:rPr>
              <w:t>PM-FM</w:t>
            </w:r>
          </w:p>
        </w:tc>
        <w:tc>
          <w:tcPr>
            <w:tcW w:w="1800" w:type="dxa"/>
            <w:shd w:val="clear" w:color="auto" w:fill="D9D9D9" w:themeFill="background1" w:themeFillShade="D9"/>
            <w:vAlign w:val="center"/>
          </w:tcPr>
          <w:p w14:paraId="7D286E86" w14:textId="16E328FF" w:rsidR="00CD0056" w:rsidRDefault="00CD0056" w:rsidP="00CD0056">
            <w:pPr>
              <w:jc w:val="center"/>
            </w:pPr>
            <w:r w:rsidRPr="00DD4C00">
              <w:rPr>
                <w:rFonts w:asciiTheme="majorHAnsi" w:hAnsiTheme="majorHAnsi" w:cstheme="majorHAnsi"/>
                <w:b/>
                <w:sz w:val="20"/>
                <w:szCs w:val="20"/>
              </w:rPr>
              <w:t>PM-PMON</w:t>
            </w:r>
          </w:p>
        </w:tc>
      </w:tr>
      <w:tr w:rsidR="00CD0056" w14:paraId="62F0251E" w14:textId="77777777" w:rsidTr="00CD0056">
        <w:trPr>
          <w:cantSplit/>
          <w:tblHeader/>
        </w:trPr>
        <w:tc>
          <w:tcPr>
            <w:tcW w:w="1800" w:type="dxa"/>
          </w:tcPr>
          <w:p w14:paraId="0EFCD367" w14:textId="77777777" w:rsidR="00CD0056" w:rsidRDefault="00CD0056" w:rsidP="00DD4C00"/>
        </w:tc>
        <w:tc>
          <w:tcPr>
            <w:tcW w:w="1800" w:type="dxa"/>
          </w:tcPr>
          <w:p w14:paraId="1446DB81" w14:textId="77777777" w:rsidR="00CD0056" w:rsidRDefault="00CD0056" w:rsidP="00DD4C00"/>
        </w:tc>
        <w:tc>
          <w:tcPr>
            <w:tcW w:w="1800" w:type="dxa"/>
          </w:tcPr>
          <w:p w14:paraId="7D5FA978" w14:textId="77777777" w:rsidR="00CD0056" w:rsidRDefault="00CD0056" w:rsidP="00DD4C00"/>
        </w:tc>
        <w:tc>
          <w:tcPr>
            <w:tcW w:w="1800" w:type="dxa"/>
          </w:tcPr>
          <w:p w14:paraId="59F556FB" w14:textId="77777777" w:rsidR="00CD0056" w:rsidRDefault="00CD0056" w:rsidP="00DD4C00"/>
        </w:tc>
        <w:tc>
          <w:tcPr>
            <w:tcW w:w="1800" w:type="dxa"/>
          </w:tcPr>
          <w:p w14:paraId="3416B4B9" w14:textId="77777777" w:rsidR="00CD0056" w:rsidRDefault="00CD0056" w:rsidP="00DD4C00"/>
        </w:tc>
        <w:tc>
          <w:tcPr>
            <w:tcW w:w="1800" w:type="dxa"/>
          </w:tcPr>
          <w:p w14:paraId="661FF95E" w14:textId="77777777" w:rsidR="00CD0056" w:rsidRDefault="00CD0056" w:rsidP="00DD4C00"/>
        </w:tc>
        <w:tc>
          <w:tcPr>
            <w:tcW w:w="1800" w:type="dxa"/>
          </w:tcPr>
          <w:p w14:paraId="73AE7505" w14:textId="77777777" w:rsidR="00CD0056" w:rsidRDefault="00CD0056" w:rsidP="00DD4C00"/>
        </w:tc>
        <w:tc>
          <w:tcPr>
            <w:tcW w:w="1800" w:type="dxa"/>
          </w:tcPr>
          <w:p w14:paraId="06CC33E9" w14:textId="77777777" w:rsidR="00CD0056" w:rsidRDefault="00CD0056" w:rsidP="00DD4C00"/>
        </w:tc>
      </w:tr>
      <w:tr w:rsidR="00CD0056" w14:paraId="4D3067D5" w14:textId="77777777" w:rsidTr="00CD0056">
        <w:trPr>
          <w:cantSplit/>
          <w:tblHeader/>
        </w:trPr>
        <w:tc>
          <w:tcPr>
            <w:tcW w:w="1800" w:type="dxa"/>
          </w:tcPr>
          <w:p w14:paraId="31CCE7EF" w14:textId="77777777" w:rsidR="00CD0056" w:rsidRDefault="00CD0056" w:rsidP="00DD4C00"/>
        </w:tc>
        <w:tc>
          <w:tcPr>
            <w:tcW w:w="1800" w:type="dxa"/>
          </w:tcPr>
          <w:p w14:paraId="1CEA9537" w14:textId="77777777" w:rsidR="00CD0056" w:rsidRDefault="00CD0056" w:rsidP="00DD4C00"/>
        </w:tc>
        <w:tc>
          <w:tcPr>
            <w:tcW w:w="1800" w:type="dxa"/>
          </w:tcPr>
          <w:p w14:paraId="6E6B2D34" w14:textId="77777777" w:rsidR="00CD0056" w:rsidRDefault="00CD0056" w:rsidP="00DD4C00"/>
        </w:tc>
        <w:tc>
          <w:tcPr>
            <w:tcW w:w="1800" w:type="dxa"/>
          </w:tcPr>
          <w:p w14:paraId="20B21602" w14:textId="77777777" w:rsidR="00CD0056" w:rsidRDefault="00CD0056" w:rsidP="00DD4C00"/>
        </w:tc>
        <w:tc>
          <w:tcPr>
            <w:tcW w:w="1800" w:type="dxa"/>
          </w:tcPr>
          <w:p w14:paraId="6B0316C7" w14:textId="77777777" w:rsidR="00CD0056" w:rsidRDefault="00CD0056" w:rsidP="00DD4C00"/>
        </w:tc>
        <w:tc>
          <w:tcPr>
            <w:tcW w:w="1800" w:type="dxa"/>
          </w:tcPr>
          <w:p w14:paraId="708DB824" w14:textId="77777777" w:rsidR="00CD0056" w:rsidRDefault="00CD0056" w:rsidP="00DD4C00"/>
        </w:tc>
        <w:tc>
          <w:tcPr>
            <w:tcW w:w="1800" w:type="dxa"/>
          </w:tcPr>
          <w:p w14:paraId="07DE33FE" w14:textId="77777777" w:rsidR="00CD0056" w:rsidRDefault="00CD0056" w:rsidP="00DD4C00"/>
        </w:tc>
        <w:tc>
          <w:tcPr>
            <w:tcW w:w="1800" w:type="dxa"/>
          </w:tcPr>
          <w:p w14:paraId="727D54F0" w14:textId="77777777" w:rsidR="00CD0056" w:rsidRDefault="00CD0056" w:rsidP="00DD4C00"/>
        </w:tc>
      </w:tr>
      <w:tr w:rsidR="00CD0056" w14:paraId="428BFBAB" w14:textId="77777777" w:rsidTr="00CD0056">
        <w:trPr>
          <w:cantSplit/>
          <w:tblHeader/>
        </w:trPr>
        <w:tc>
          <w:tcPr>
            <w:tcW w:w="1800" w:type="dxa"/>
          </w:tcPr>
          <w:p w14:paraId="550C3EE7" w14:textId="77777777" w:rsidR="00CD0056" w:rsidRDefault="00CD0056" w:rsidP="00DD4C00"/>
        </w:tc>
        <w:tc>
          <w:tcPr>
            <w:tcW w:w="1800" w:type="dxa"/>
          </w:tcPr>
          <w:p w14:paraId="51D60CAB" w14:textId="77777777" w:rsidR="00CD0056" w:rsidRDefault="00CD0056" w:rsidP="00DD4C00"/>
        </w:tc>
        <w:tc>
          <w:tcPr>
            <w:tcW w:w="1800" w:type="dxa"/>
          </w:tcPr>
          <w:p w14:paraId="1BB0D36A" w14:textId="77777777" w:rsidR="00CD0056" w:rsidRDefault="00CD0056" w:rsidP="00DD4C00"/>
        </w:tc>
        <w:tc>
          <w:tcPr>
            <w:tcW w:w="1800" w:type="dxa"/>
          </w:tcPr>
          <w:p w14:paraId="69AB546F" w14:textId="77777777" w:rsidR="00CD0056" w:rsidRDefault="00CD0056" w:rsidP="00DD4C00"/>
        </w:tc>
        <w:tc>
          <w:tcPr>
            <w:tcW w:w="1800" w:type="dxa"/>
          </w:tcPr>
          <w:p w14:paraId="6CD318BD" w14:textId="77777777" w:rsidR="00CD0056" w:rsidRDefault="00CD0056" w:rsidP="00DD4C00"/>
        </w:tc>
        <w:tc>
          <w:tcPr>
            <w:tcW w:w="1800" w:type="dxa"/>
          </w:tcPr>
          <w:p w14:paraId="7968F282" w14:textId="77777777" w:rsidR="00CD0056" w:rsidRDefault="00CD0056" w:rsidP="00DD4C00"/>
        </w:tc>
        <w:tc>
          <w:tcPr>
            <w:tcW w:w="1800" w:type="dxa"/>
          </w:tcPr>
          <w:p w14:paraId="4A2C5C23" w14:textId="77777777" w:rsidR="00CD0056" w:rsidRDefault="00CD0056" w:rsidP="00DD4C00"/>
        </w:tc>
        <w:tc>
          <w:tcPr>
            <w:tcW w:w="1800" w:type="dxa"/>
          </w:tcPr>
          <w:p w14:paraId="22D78EBF" w14:textId="77777777" w:rsidR="00CD0056" w:rsidRDefault="00CD0056" w:rsidP="00DD4C00"/>
        </w:tc>
      </w:tr>
      <w:tr w:rsidR="00CD0056" w14:paraId="6FECE8D4" w14:textId="77777777" w:rsidTr="00CD0056">
        <w:trPr>
          <w:cantSplit/>
          <w:tblHeader/>
        </w:trPr>
        <w:tc>
          <w:tcPr>
            <w:tcW w:w="1800" w:type="dxa"/>
          </w:tcPr>
          <w:p w14:paraId="0F42B780" w14:textId="77777777" w:rsidR="00CD0056" w:rsidRDefault="00CD0056" w:rsidP="00DD4C00"/>
        </w:tc>
        <w:tc>
          <w:tcPr>
            <w:tcW w:w="1800" w:type="dxa"/>
          </w:tcPr>
          <w:p w14:paraId="0D865DF4" w14:textId="77777777" w:rsidR="00CD0056" w:rsidRDefault="00CD0056" w:rsidP="00DD4C00"/>
        </w:tc>
        <w:tc>
          <w:tcPr>
            <w:tcW w:w="1800" w:type="dxa"/>
          </w:tcPr>
          <w:p w14:paraId="76CF12CF" w14:textId="77777777" w:rsidR="00CD0056" w:rsidRDefault="00CD0056" w:rsidP="00DD4C00"/>
        </w:tc>
        <w:tc>
          <w:tcPr>
            <w:tcW w:w="1800" w:type="dxa"/>
          </w:tcPr>
          <w:p w14:paraId="01117FBF" w14:textId="77777777" w:rsidR="00CD0056" w:rsidRDefault="00CD0056" w:rsidP="00DD4C00"/>
        </w:tc>
        <w:tc>
          <w:tcPr>
            <w:tcW w:w="1800" w:type="dxa"/>
          </w:tcPr>
          <w:p w14:paraId="175E6F46" w14:textId="77777777" w:rsidR="00CD0056" w:rsidRDefault="00CD0056" w:rsidP="00DD4C00"/>
        </w:tc>
        <w:tc>
          <w:tcPr>
            <w:tcW w:w="1800" w:type="dxa"/>
          </w:tcPr>
          <w:p w14:paraId="1CDF7C57" w14:textId="77777777" w:rsidR="00CD0056" w:rsidRDefault="00CD0056" w:rsidP="00DD4C00"/>
        </w:tc>
        <w:tc>
          <w:tcPr>
            <w:tcW w:w="1800" w:type="dxa"/>
          </w:tcPr>
          <w:p w14:paraId="44B1E584" w14:textId="77777777" w:rsidR="00CD0056" w:rsidRDefault="00CD0056" w:rsidP="00DD4C00"/>
        </w:tc>
        <w:tc>
          <w:tcPr>
            <w:tcW w:w="1800" w:type="dxa"/>
          </w:tcPr>
          <w:p w14:paraId="77BEDB38" w14:textId="77777777" w:rsidR="00CD0056" w:rsidRDefault="00CD0056" w:rsidP="00DD4C00"/>
        </w:tc>
      </w:tr>
      <w:tr w:rsidR="00CD0056" w14:paraId="5833D809" w14:textId="77777777" w:rsidTr="00CD0056">
        <w:trPr>
          <w:cantSplit/>
          <w:tblHeader/>
        </w:trPr>
        <w:tc>
          <w:tcPr>
            <w:tcW w:w="1800" w:type="dxa"/>
          </w:tcPr>
          <w:p w14:paraId="6EAD0606" w14:textId="77777777" w:rsidR="00CD0056" w:rsidRDefault="00CD0056" w:rsidP="00DD4C00"/>
        </w:tc>
        <w:tc>
          <w:tcPr>
            <w:tcW w:w="1800" w:type="dxa"/>
          </w:tcPr>
          <w:p w14:paraId="7ECCFB81" w14:textId="77777777" w:rsidR="00CD0056" w:rsidRDefault="00CD0056" w:rsidP="00DD4C00"/>
        </w:tc>
        <w:tc>
          <w:tcPr>
            <w:tcW w:w="1800" w:type="dxa"/>
          </w:tcPr>
          <w:p w14:paraId="18D9704A" w14:textId="77777777" w:rsidR="00CD0056" w:rsidRDefault="00CD0056" w:rsidP="00DD4C00"/>
        </w:tc>
        <w:tc>
          <w:tcPr>
            <w:tcW w:w="1800" w:type="dxa"/>
          </w:tcPr>
          <w:p w14:paraId="68B57410" w14:textId="77777777" w:rsidR="00CD0056" w:rsidRDefault="00CD0056" w:rsidP="00DD4C00"/>
        </w:tc>
        <w:tc>
          <w:tcPr>
            <w:tcW w:w="1800" w:type="dxa"/>
          </w:tcPr>
          <w:p w14:paraId="143277F6" w14:textId="77777777" w:rsidR="00CD0056" w:rsidRDefault="00CD0056" w:rsidP="00DD4C00"/>
        </w:tc>
        <w:tc>
          <w:tcPr>
            <w:tcW w:w="1800" w:type="dxa"/>
          </w:tcPr>
          <w:p w14:paraId="6F30CC4A" w14:textId="77777777" w:rsidR="00CD0056" w:rsidRDefault="00CD0056" w:rsidP="00DD4C00"/>
        </w:tc>
        <w:tc>
          <w:tcPr>
            <w:tcW w:w="1800" w:type="dxa"/>
          </w:tcPr>
          <w:p w14:paraId="3E1A2E5D" w14:textId="77777777" w:rsidR="00CD0056" w:rsidRDefault="00CD0056" w:rsidP="00DD4C00"/>
        </w:tc>
        <w:tc>
          <w:tcPr>
            <w:tcW w:w="1800" w:type="dxa"/>
          </w:tcPr>
          <w:p w14:paraId="0D718CD1" w14:textId="77777777" w:rsidR="00CD0056" w:rsidRDefault="00CD0056" w:rsidP="00DD4C00"/>
        </w:tc>
      </w:tr>
      <w:tr w:rsidR="00CD0056" w14:paraId="36A2B48B" w14:textId="77777777" w:rsidTr="00CD0056">
        <w:trPr>
          <w:cantSplit/>
          <w:tblHeader/>
        </w:trPr>
        <w:tc>
          <w:tcPr>
            <w:tcW w:w="1800" w:type="dxa"/>
          </w:tcPr>
          <w:p w14:paraId="57F3AE41" w14:textId="77777777" w:rsidR="00CD0056" w:rsidRDefault="00CD0056" w:rsidP="00DD4C00"/>
        </w:tc>
        <w:tc>
          <w:tcPr>
            <w:tcW w:w="1800" w:type="dxa"/>
          </w:tcPr>
          <w:p w14:paraId="3A70DD6A" w14:textId="77777777" w:rsidR="00CD0056" w:rsidRDefault="00CD0056" w:rsidP="00DD4C00"/>
        </w:tc>
        <w:tc>
          <w:tcPr>
            <w:tcW w:w="1800" w:type="dxa"/>
          </w:tcPr>
          <w:p w14:paraId="16EAF145" w14:textId="77777777" w:rsidR="00CD0056" w:rsidRDefault="00CD0056" w:rsidP="00DD4C00"/>
        </w:tc>
        <w:tc>
          <w:tcPr>
            <w:tcW w:w="1800" w:type="dxa"/>
          </w:tcPr>
          <w:p w14:paraId="4E369BAA" w14:textId="77777777" w:rsidR="00CD0056" w:rsidRDefault="00CD0056" w:rsidP="00DD4C00"/>
        </w:tc>
        <w:tc>
          <w:tcPr>
            <w:tcW w:w="1800" w:type="dxa"/>
          </w:tcPr>
          <w:p w14:paraId="1FFE9A0F" w14:textId="77777777" w:rsidR="00CD0056" w:rsidRDefault="00CD0056" w:rsidP="00DD4C00"/>
        </w:tc>
        <w:tc>
          <w:tcPr>
            <w:tcW w:w="1800" w:type="dxa"/>
          </w:tcPr>
          <w:p w14:paraId="0568E800" w14:textId="77777777" w:rsidR="00CD0056" w:rsidRDefault="00CD0056" w:rsidP="00DD4C00"/>
        </w:tc>
        <w:tc>
          <w:tcPr>
            <w:tcW w:w="1800" w:type="dxa"/>
          </w:tcPr>
          <w:p w14:paraId="24990478" w14:textId="77777777" w:rsidR="00CD0056" w:rsidRDefault="00CD0056" w:rsidP="00DD4C00"/>
        </w:tc>
        <w:tc>
          <w:tcPr>
            <w:tcW w:w="1800" w:type="dxa"/>
          </w:tcPr>
          <w:p w14:paraId="1D4D397A" w14:textId="77777777" w:rsidR="00CD0056" w:rsidRDefault="00CD0056" w:rsidP="00DD4C00"/>
        </w:tc>
      </w:tr>
      <w:tr w:rsidR="00CD0056" w14:paraId="19DA8F6D" w14:textId="77777777" w:rsidTr="00CD0056">
        <w:trPr>
          <w:cantSplit/>
          <w:tblHeader/>
        </w:trPr>
        <w:tc>
          <w:tcPr>
            <w:tcW w:w="1800" w:type="dxa"/>
          </w:tcPr>
          <w:p w14:paraId="1AF50D51" w14:textId="77777777" w:rsidR="00CD0056" w:rsidRDefault="00CD0056" w:rsidP="00DD4C00"/>
        </w:tc>
        <w:tc>
          <w:tcPr>
            <w:tcW w:w="1800" w:type="dxa"/>
          </w:tcPr>
          <w:p w14:paraId="460CA794" w14:textId="77777777" w:rsidR="00CD0056" w:rsidRDefault="00CD0056" w:rsidP="00DD4C00"/>
        </w:tc>
        <w:tc>
          <w:tcPr>
            <w:tcW w:w="1800" w:type="dxa"/>
          </w:tcPr>
          <w:p w14:paraId="6E85B9B8" w14:textId="77777777" w:rsidR="00CD0056" w:rsidRDefault="00CD0056" w:rsidP="00DD4C00"/>
        </w:tc>
        <w:tc>
          <w:tcPr>
            <w:tcW w:w="1800" w:type="dxa"/>
          </w:tcPr>
          <w:p w14:paraId="1B32C9B2" w14:textId="77777777" w:rsidR="00CD0056" w:rsidRDefault="00CD0056" w:rsidP="00DD4C00"/>
        </w:tc>
        <w:tc>
          <w:tcPr>
            <w:tcW w:w="1800" w:type="dxa"/>
          </w:tcPr>
          <w:p w14:paraId="06708344" w14:textId="77777777" w:rsidR="00CD0056" w:rsidRDefault="00CD0056" w:rsidP="00DD4C00"/>
        </w:tc>
        <w:tc>
          <w:tcPr>
            <w:tcW w:w="1800" w:type="dxa"/>
          </w:tcPr>
          <w:p w14:paraId="256873C3" w14:textId="77777777" w:rsidR="00CD0056" w:rsidRDefault="00CD0056" w:rsidP="00DD4C00"/>
        </w:tc>
        <w:tc>
          <w:tcPr>
            <w:tcW w:w="1800" w:type="dxa"/>
          </w:tcPr>
          <w:p w14:paraId="332DD230" w14:textId="77777777" w:rsidR="00CD0056" w:rsidRDefault="00CD0056" w:rsidP="00DD4C00"/>
        </w:tc>
        <w:tc>
          <w:tcPr>
            <w:tcW w:w="1800" w:type="dxa"/>
          </w:tcPr>
          <w:p w14:paraId="7FE546D0" w14:textId="77777777" w:rsidR="00CD0056" w:rsidRDefault="00CD0056" w:rsidP="00DD4C00"/>
        </w:tc>
      </w:tr>
      <w:tr w:rsidR="00CD0056" w14:paraId="6F747591" w14:textId="77777777" w:rsidTr="00CD0056">
        <w:trPr>
          <w:cantSplit/>
          <w:tblHeader/>
        </w:trPr>
        <w:tc>
          <w:tcPr>
            <w:tcW w:w="1800" w:type="dxa"/>
          </w:tcPr>
          <w:p w14:paraId="70BD17CB" w14:textId="77777777" w:rsidR="00CD0056" w:rsidRDefault="00CD0056" w:rsidP="00DD4C00"/>
        </w:tc>
        <w:tc>
          <w:tcPr>
            <w:tcW w:w="1800" w:type="dxa"/>
          </w:tcPr>
          <w:p w14:paraId="2146C6BA" w14:textId="77777777" w:rsidR="00CD0056" w:rsidRDefault="00CD0056" w:rsidP="00DD4C00"/>
        </w:tc>
        <w:tc>
          <w:tcPr>
            <w:tcW w:w="1800" w:type="dxa"/>
          </w:tcPr>
          <w:p w14:paraId="33428A57" w14:textId="77777777" w:rsidR="00CD0056" w:rsidRDefault="00CD0056" w:rsidP="00DD4C00"/>
        </w:tc>
        <w:tc>
          <w:tcPr>
            <w:tcW w:w="1800" w:type="dxa"/>
          </w:tcPr>
          <w:p w14:paraId="1AC1EAFF" w14:textId="77777777" w:rsidR="00CD0056" w:rsidRDefault="00CD0056" w:rsidP="00DD4C00"/>
        </w:tc>
        <w:tc>
          <w:tcPr>
            <w:tcW w:w="1800" w:type="dxa"/>
          </w:tcPr>
          <w:p w14:paraId="1C6105BE" w14:textId="77777777" w:rsidR="00CD0056" w:rsidRDefault="00CD0056" w:rsidP="00DD4C00"/>
        </w:tc>
        <w:tc>
          <w:tcPr>
            <w:tcW w:w="1800" w:type="dxa"/>
          </w:tcPr>
          <w:p w14:paraId="5125F9FA" w14:textId="77777777" w:rsidR="00CD0056" w:rsidRDefault="00CD0056" w:rsidP="00DD4C00"/>
        </w:tc>
        <w:tc>
          <w:tcPr>
            <w:tcW w:w="1800" w:type="dxa"/>
          </w:tcPr>
          <w:p w14:paraId="38F3CF40" w14:textId="77777777" w:rsidR="00CD0056" w:rsidRDefault="00CD0056" w:rsidP="00DD4C00"/>
        </w:tc>
        <w:tc>
          <w:tcPr>
            <w:tcW w:w="1800" w:type="dxa"/>
          </w:tcPr>
          <w:p w14:paraId="7C62A582" w14:textId="77777777" w:rsidR="00CD0056" w:rsidRDefault="00CD0056" w:rsidP="00DD4C00"/>
        </w:tc>
      </w:tr>
      <w:tr w:rsidR="00CD0056" w14:paraId="345F727A" w14:textId="77777777" w:rsidTr="00CD0056">
        <w:trPr>
          <w:cantSplit/>
          <w:tblHeader/>
        </w:trPr>
        <w:tc>
          <w:tcPr>
            <w:tcW w:w="1800" w:type="dxa"/>
          </w:tcPr>
          <w:p w14:paraId="61CF39EE" w14:textId="77777777" w:rsidR="00CD0056" w:rsidRDefault="00CD0056" w:rsidP="00DD4C00"/>
        </w:tc>
        <w:tc>
          <w:tcPr>
            <w:tcW w:w="1800" w:type="dxa"/>
          </w:tcPr>
          <w:p w14:paraId="65EE3BD8" w14:textId="77777777" w:rsidR="00CD0056" w:rsidRDefault="00CD0056" w:rsidP="00DD4C00"/>
        </w:tc>
        <w:tc>
          <w:tcPr>
            <w:tcW w:w="1800" w:type="dxa"/>
          </w:tcPr>
          <w:p w14:paraId="7F7ACC3E" w14:textId="77777777" w:rsidR="00CD0056" w:rsidRDefault="00CD0056" w:rsidP="00DD4C00"/>
        </w:tc>
        <w:tc>
          <w:tcPr>
            <w:tcW w:w="1800" w:type="dxa"/>
          </w:tcPr>
          <w:p w14:paraId="24FA739E" w14:textId="77777777" w:rsidR="00CD0056" w:rsidRDefault="00CD0056" w:rsidP="00DD4C00"/>
        </w:tc>
        <w:tc>
          <w:tcPr>
            <w:tcW w:w="1800" w:type="dxa"/>
          </w:tcPr>
          <w:p w14:paraId="37322913" w14:textId="77777777" w:rsidR="00CD0056" w:rsidRDefault="00CD0056" w:rsidP="00DD4C00"/>
        </w:tc>
        <w:tc>
          <w:tcPr>
            <w:tcW w:w="1800" w:type="dxa"/>
          </w:tcPr>
          <w:p w14:paraId="1A5E8BFB" w14:textId="77777777" w:rsidR="00CD0056" w:rsidRDefault="00CD0056" w:rsidP="00DD4C00"/>
        </w:tc>
        <w:tc>
          <w:tcPr>
            <w:tcW w:w="1800" w:type="dxa"/>
          </w:tcPr>
          <w:p w14:paraId="382CDA00" w14:textId="77777777" w:rsidR="00CD0056" w:rsidRDefault="00CD0056" w:rsidP="00DD4C00"/>
        </w:tc>
        <w:tc>
          <w:tcPr>
            <w:tcW w:w="1800" w:type="dxa"/>
          </w:tcPr>
          <w:p w14:paraId="2BB40639" w14:textId="77777777" w:rsidR="00CD0056" w:rsidRDefault="00CD0056" w:rsidP="00DD4C00"/>
        </w:tc>
      </w:tr>
      <w:tr w:rsidR="00CD0056" w14:paraId="73EEC7F6" w14:textId="77777777" w:rsidTr="00CD0056">
        <w:trPr>
          <w:cantSplit/>
          <w:tblHeader/>
        </w:trPr>
        <w:tc>
          <w:tcPr>
            <w:tcW w:w="1800" w:type="dxa"/>
          </w:tcPr>
          <w:p w14:paraId="4CB78DE2" w14:textId="77777777" w:rsidR="00CD0056" w:rsidRDefault="00CD0056" w:rsidP="00DD4C00"/>
        </w:tc>
        <w:tc>
          <w:tcPr>
            <w:tcW w:w="1800" w:type="dxa"/>
          </w:tcPr>
          <w:p w14:paraId="38CAEF98" w14:textId="77777777" w:rsidR="00CD0056" w:rsidRDefault="00CD0056" w:rsidP="00DD4C00"/>
        </w:tc>
        <w:tc>
          <w:tcPr>
            <w:tcW w:w="1800" w:type="dxa"/>
          </w:tcPr>
          <w:p w14:paraId="5C56618D" w14:textId="77777777" w:rsidR="00CD0056" w:rsidRDefault="00CD0056" w:rsidP="00DD4C00"/>
        </w:tc>
        <w:tc>
          <w:tcPr>
            <w:tcW w:w="1800" w:type="dxa"/>
          </w:tcPr>
          <w:p w14:paraId="78E93510" w14:textId="77777777" w:rsidR="00CD0056" w:rsidRDefault="00CD0056" w:rsidP="00DD4C00"/>
        </w:tc>
        <w:tc>
          <w:tcPr>
            <w:tcW w:w="1800" w:type="dxa"/>
          </w:tcPr>
          <w:p w14:paraId="25A594A9" w14:textId="77777777" w:rsidR="00CD0056" w:rsidRDefault="00CD0056" w:rsidP="00DD4C00"/>
        </w:tc>
        <w:tc>
          <w:tcPr>
            <w:tcW w:w="1800" w:type="dxa"/>
          </w:tcPr>
          <w:p w14:paraId="5C44D5F5" w14:textId="77777777" w:rsidR="00CD0056" w:rsidRDefault="00CD0056" w:rsidP="00DD4C00"/>
        </w:tc>
        <w:tc>
          <w:tcPr>
            <w:tcW w:w="1800" w:type="dxa"/>
          </w:tcPr>
          <w:p w14:paraId="57D10B8B" w14:textId="77777777" w:rsidR="00CD0056" w:rsidRDefault="00CD0056" w:rsidP="00DD4C00"/>
        </w:tc>
        <w:tc>
          <w:tcPr>
            <w:tcW w:w="1800" w:type="dxa"/>
          </w:tcPr>
          <w:p w14:paraId="09B4B0C9" w14:textId="77777777" w:rsidR="00CD0056" w:rsidRDefault="00CD0056" w:rsidP="00DD4C00"/>
        </w:tc>
      </w:tr>
    </w:tbl>
    <w:p w14:paraId="0C28CBF0" w14:textId="1BB77B91" w:rsidR="00B85B51" w:rsidRDefault="00B85B51" w:rsidP="00B85B51">
      <w:pPr>
        <w:spacing w:after="0"/>
        <w:rPr>
          <w:sz w:val="20"/>
          <w:szCs w:val="20"/>
        </w:rPr>
      </w:pPr>
    </w:p>
    <w:p w14:paraId="690C29BD" w14:textId="77777777" w:rsidR="00B85B51" w:rsidRDefault="00B85B51">
      <w:pPr>
        <w:rPr>
          <w:sz w:val="20"/>
          <w:szCs w:val="20"/>
        </w:rPr>
      </w:pPr>
      <w:r>
        <w:rPr>
          <w:sz w:val="20"/>
          <w:szCs w:val="20"/>
        </w:rPr>
        <w:br w:type="page"/>
      </w:r>
    </w:p>
    <w:p w14:paraId="53191A63" w14:textId="77777777" w:rsidR="00DD4C00" w:rsidRPr="00DD4C00" w:rsidRDefault="00DD4C00" w:rsidP="00A82BE1">
      <w:pPr>
        <w:spacing w:after="0"/>
        <w:jc w:val="center"/>
        <w:outlineLvl w:val="0"/>
        <w:rPr>
          <w:rFonts w:asciiTheme="majorHAnsi" w:hAnsiTheme="majorHAnsi" w:cstheme="majorHAnsi"/>
          <w:b/>
          <w:szCs w:val="24"/>
        </w:rPr>
      </w:pPr>
      <w:r w:rsidRPr="00DD4C00">
        <w:rPr>
          <w:rFonts w:asciiTheme="majorHAnsi" w:hAnsiTheme="majorHAnsi" w:cstheme="majorHAnsi"/>
          <w:b/>
          <w:szCs w:val="24"/>
        </w:rPr>
        <w:lastRenderedPageBreak/>
        <w:t>Process Heater/Furnace Attributes</w:t>
      </w:r>
    </w:p>
    <w:p w14:paraId="05162BC6" w14:textId="77777777" w:rsidR="00DD4C00" w:rsidRPr="00DD4C00" w:rsidRDefault="00DD4C00" w:rsidP="00A82BE1">
      <w:pPr>
        <w:spacing w:after="0"/>
        <w:jc w:val="center"/>
        <w:outlineLvl w:val="0"/>
        <w:rPr>
          <w:rFonts w:asciiTheme="majorHAnsi" w:hAnsiTheme="majorHAnsi" w:cstheme="majorHAnsi"/>
          <w:b/>
          <w:szCs w:val="24"/>
        </w:rPr>
      </w:pPr>
      <w:r w:rsidRPr="00DD4C00">
        <w:rPr>
          <w:rFonts w:asciiTheme="majorHAnsi" w:hAnsiTheme="majorHAnsi" w:cstheme="majorHAnsi"/>
          <w:b/>
          <w:szCs w:val="24"/>
        </w:rPr>
        <w:t>Form OP-UA5 (Page 15)</w:t>
      </w:r>
    </w:p>
    <w:p w14:paraId="3E99FC4F" w14:textId="77777777" w:rsidR="00DD4C00" w:rsidRPr="00DD4C00" w:rsidRDefault="00DD4C00" w:rsidP="00A82BE1">
      <w:pPr>
        <w:spacing w:after="0"/>
        <w:contextualSpacing/>
        <w:jc w:val="center"/>
        <w:outlineLvl w:val="0"/>
        <w:rPr>
          <w:b/>
          <w:bCs/>
        </w:rPr>
      </w:pPr>
      <w:r w:rsidRPr="00DD4C00">
        <w:rPr>
          <w:b/>
          <w:bCs/>
        </w:rPr>
        <w:t>Federal Operating Permit Program</w:t>
      </w:r>
    </w:p>
    <w:p w14:paraId="34713113" w14:textId="77777777" w:rsidR="00DD4C00" w:rsidRPr="00DD4C00" w:rsidRDefault="00DD4C00" w:rsidP="00A82BE1">
      <w:pPr>
        <w:spacing w:after="0"/>
        <w:contextualSpacing/>
        <w:jc w:val="center"/>
        <w:outlineLvl w:val="0"/>
        <w:rPr>
          <w:b/>
          <w:bCs/>
        </w:rPr>
      </w:pPr>
      <w:bookmarkStart w:id="49" w:name="TBL6f"/>
      <w:r w:rsidRPr="00DD4C00">
        <w:rPr>
          <w:b/>
          <w:bCs/>
        </w:rPr>
        <w:t>Table 6f</w:t>
      </w:r>
      <w:bookmarkEnd w:id="49"/>
      <w:r w:rsidRPr="00DD4C00">
        <w:rPr>
          <w:b/>
          <w:bCs/>
        </w:rPr>
        <w:t>:  Title 40 Code of Federal Regulations Part 63 (40 CFR Part 63)</w:t>
      </w:r>
    </w:p>
    <w:p w14:paraId="75747F97" w14:textId="526A58E2" w:rsidR="00DD4C00" w:rsidRDefault="00DD4C00" w:rsidP="00A82BE1">
      <w:pPr>
        <w:spacing w:after="0"/>
        <w:contextualSpacing/>
        <w:jc w:val="center"/>
        <w:outlineLvl w:val="0"/>
        <w:rPr>
          <w:b/>
          <w:bCs/>
        </w:rPr>
      </w:pPr>
      <w:r w:rsidRPr="00DD4C00">
        <w:rPr>
          <w:b/>
          <w:bCs/>
        </w:rPr>
        <w:t xml:space="preserve">Subchapter DDDDD:  Industrial, Commercial, and </w:t>
      </w:r>
      <w:r w:rsidR="00E252A0">
        <w:rPr>
          <w:b/>
          <w:bCs/>
        </w:rPr>
        <w:t>Institutional</w:t>
      </w:r>
      <w:r w:rsidR="00E252A0" w:rsidRPr="00DD4C00">
        <w:rPr>
          <w:b/>
          <w:bCs/>
        </w:rPr>
        <w:t xml:space="preserve"> </w:t>
      </w:r>
      <w:r w:rsidRPr="00DD4C00">
        <w:rPr>
          <w:b/>
          <w:bCs/>
        </w:rPr>
        <w:t>Process Heaters</w:t>
      </w:r>
    </w:p>
    <w:p w14:paraId="4957B2E8" w14:textId="77777777" w:rsidR="00A82BE1" w:rsidRPr="00DD4C00" w:rsidRDefault="00A82BE1" w:rsidP="00A82BE1">
      <w:pPr>
        <w:spacing w:after="0"/>
        <w:contextualSpacing/>
        <w:jc w:val="center"/>
        <w:outlineLvl w:val="0"/>
        <w:rPr>
          <w:rFonts w:eastAsia="Times New Roman" w:cs="Times New Roman"/>
          <w:b/>
          <w:bCs/>
          <w:lang w:bidi="en-US"/>
        </w:rPr>
      </w:pPr>
      <w:r w:rsidRPr="00DD4C00">
        <w:rPr>
          <w:rFonts w:eastAsia="Times New Roman" w:cs="Times New Roman"/>
          <w:b/>
          <w:bCs/>
          <w:lang w:bidi="en-US"/>
        </w:rPr>
        <w:t>Texas Commission on Environmental Quality</w:t>
      </w:r>
    </w:p>
    <w:p w14:paraId="114FADF5" w14:textId="77777777" w:rsidR="00DD4C00" w:rsidRPr="00DD4C00" w:rsidRDefault="00DD4C00" w:rsidP="00DD4C00">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f:  Title 40 Code of Federal Regulations Part 63 (40 CFR Part 63)&#10;Subchapter DDDDD:  Industrial, Commercial, and Institutional Process Heaters&#10;&#10;&#10;&#10;&#10;&#10;&#10;"/>
      </w:tblPr>
      <w:tblGrid>
        <w:gridCol w:w="4800"/>
        <w:gridCol w:w="4800"/>
        <w:gridCol w:w="4800"/>
      </w:tblGrid>
      <w:tr w:rsidR="0093034F" w:rsidRPr="00756A95" w14:paraId="12A360D8" w14:textId="77777777" w:rsidTr="00F263FF">
        <w:trPr>
          <w:cantSplit/>
          <w:tblHeader/>
        </w:trPr>
        <w:tc>
          <w:tcPr>
            <w:tcW w:w="4800" w:type="dxa"/>
            <w:shd w:val="clear" w:color="auto" w:fill="D9D9D9" w:themeFill="background1" w:themeFillShade="D9"/>
          </w:tcPr>
          <w:p w14:paraId="309001CE"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1FA20D5C"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26E74DE0"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352564FF" w14:textId="77777777" w:rsidTr="00F263FF">
        <w:trPr>
          <w:cantSplit/>
          <w:tblHeader/>
        </w:trPr>
        <w:tc>
          <w:tcPr>
            <w:tcW w:w="4800" w:type="dxa"/>
          </w:tcPr>
          <w:p w14:paraId="20C70979" w14:textId="77777777" w:rsidR="0093034F" w:rsidRDefault="0093034F" w:rsidP="00F263FF">
            <w:pPr>
              <w:rPr>
                <w:rFonts w:asciiTheme="majorHAnsi" w:hAnsiTheme="majorHAnsi" w:cstheme="majorHAnsi"/>
              </w:rPr>
            </w:pPr>
          </w:p>
        </w:tc>
        <w:tc>
          <w:tcPr>
            <w:tcW w:w="4800" w:type="dxa"/>
          </w:tcPr>
          <w:p w14:paraId="0EC339FB" w14:textId="77777777" w:rsidR="0093034F" w:rsidRDefault="0093034F" w:rsidP="00F263FF">
            <w:pPr>
              <w:rPr>
                <w:rFonts w:asciiTheme="majorHAnsi" w:hAnsiTheme="majorHAnsi" w:cstheme="majorHAnsi"/>
              </w:rPr>
            </w:pPr>
          </w:p>
        </w:tc>
        <w:tc>
          <w:tcPr>
            <w:tcW w:w="4800" w:type="dxa"/>
          </w:tcPr>
          <w:p w14:paraId="72940F8C" w14:textId="77777777" w:rsidR="0093034F" w:rsidRDefault="0093034F" w:rsidP="00F263FF">
            <w:pPr>
              <w:rPr>
                <w:rFonts w:asciiTheme="majorHAnsi" w:hAnsiTheme="majorHAnsi" w:cstheme="majorHAnsi"/>
              </w:rPr>
            </w:pPr>
          </w:p>
        </w:tc>
      </w:tr>
    </w:tbl>
    <w:p w14:paraId="2331612E" w14:textId="33FF6BEC" w:rsidR="00DD4C00" w:rsidRDefault="00DD4C00" w:rsidP="00DD4C00">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f:  Title 40 Code of Federal Regulations Part 63 (40 CFR Part 63)&#10;Subchapter DDDDD:  Industrial, Commercial, and Institutional Process Heaters&#10;"/>
      </w:tblPr>
      <w:tblGrid>
        <w:gridCol w:w="2880"/>
        <w:gridCol w:w="2880"/>
        <w:gridCol w:w="2880"/>
        <w:gridCol w:w="2880"/>
        <w:gridCol w:w="2880"/>
      </w:tblGrid>
      <w:tr w:rsidR="00F74A66" w14:paraId="7E55084B" w14:textId="77777777" w:rsidTr="00F74A66">
        <w:trPr>
          <w:cantSplit/>
          <w:trHeight w:val="389"/>
          <w:tblHeader/>
        </w:trPr>
        <w:tc>
          <w:tcPr>
            <w:tcW w:w="2880" w:type="dxa"/>
            <w:shd w:val="clear" w:color="auto" w:fill="D9D9D9" w:themeFill="background1" w:themeFillShade="D9"/>
            <w:vAlign w:val="center"/>
          </w:tcPr>
          <w:p w14:paraId="3209D368" w14:textId="02F9190E" w:rsidR="00F74A66" w:rsidRDefault="00F74A66" w:rsidP="00F74A66">
            <w:pPr>
              <w:jc w:val="center"/>
            </w:pPr>
            <w:r w:rsidRPr="00DD4C00">
              <w:rPr>
                <w:rFonts w:cs="Times New Roman"/>
                <w:b/>
                <w:sz w:val="20"/>
                <w:szCs w:val="20"/>
              </w:rPr>
              <w:t>Unit ID No.</w:t>
            </w:r>
          </w:p>
        </w:tc>
        <w:tc>
          <w:tcPr>
            <w:tcW w:w="2880" w:type="dxa"/>
            <w:shd w:val="clear" w:color="auto" w:fill="D9D9D9" w:themeFill="background1" w:themeFillShade="D9"/>
            <w:vAlign w:val="center"/>
          </w:tcPr>
          <w:p w14:paraId="3E000FE1" w14:textId="2942F319" w:rsidR="00F74A66" w:rsidRDefault="00F74A66" w:rsidP="00F74A66">
            <w:pPr>
              <w:jc w:val="center"/>
            </w:pPr>
            <w:r w:rsidRPr="00DD4C00">
              <w:rPr>
                <w:rFonts w:cs="Times New Roman"/>
                <w:b/>
                <w:sz w:val="20"/>
                <w:szCs w:val="20"/>
              </w:rPr>
              <w:t>SOP/GOP Index No.</w:t>
            </w:r>
          </w:p>
        </w:tc>
        <w:tc>
          <w:tcPr>
            <w:tcW w:w="2880" w:type="dxa"/>
            <w:shd w:val="clear" w:color="auto" w:fill="D9D9D9" w:themeFill="background1" w:themeFillShade="D9"/>
            <w:vAlign w:val="center"/>
          </w:tcPr>
          <w:p w14:paraId="236DEF13" w14:textId="0874C4BA" w:rsidR="00F74A66" w:rsidRDefault="00F74A66" w:rsidP="00F74A66">
            <w:pPr>
              <w:jc w:val="center"/>
            </w:pPr>
            <w:r w:rsidRPr="00DD4C00">
              <w:rPr>
                <w:rFonts w:cs="Times New Roman"/>
                <w:b/>
                <w:sz w:val="20"/>
                <w:szCs w:val="20"/>
              </w:rPr>
              <w:t>Opacity-CD</w:t>
            </w:r>
          </w:p>
        </w:tc>
        <w:tc>
          <w:tcPr>
            <w:tcW w:w="2880" w:type="dxa"/>
            <w:shd w:val="clear" w:color="auto" w:fill="D9D9D9" w:themeFill="background1" w:themeFillShade="D9"/>
            <w:vAlign w:val="center"/>
          </w:tcPr>
          <w:p w14:paraId="4B79788E" w14:textId="02ABD85C" w:rsidR="00F74A66" w:rsidRDefault="00F74A66" w:rsidP="00F74A66">
            <w:pPr>
              <w:jc w:val="center"/>
            </w:pPr>
            <w:r w:rsidRPr="00DD4C00">
              <w:rPr>
                <w:rFonts w:cs="Times New Roman"/>
                <w:b/>
                <w:sz w:val="20"/>
                <w:szCs w:val="20"/>
              </w:rPr>
              <w:t>COMS</w:t>
            </w:r>
          </w:p>
        </w:tc>
        <w:tc>
          <w:tcPr>
            <w:tcW w:w="2880" w:type="dxa"/>
            <w:shd w:val="clear" w:color="auto" w:fill="D9D9D9" w:themeFill="background1" w:themeFillShade="D9"/>
            <w:vAlign w:val="center"/>
          </w:tcPr>
          <w:p w14:paraId="0E12B276" w14:textId="1597EB29" w:rsidR="00F74A66" w:rsidRDefault="00F74A66" w:rsidP="00F74A66">
            <w:pPr>
              <w:jc w:val="center"/>
            </w:pPr>
            <w:r w:rsidRPr="00DD4C00">
              <w:rPr>
                <w:rFonts w:cs="Times New Roman"/>
                <w:b/>
                <w:sz w:val="20"/>
                <w:szCs w:val="20"/>
              </w:rPr>
              <w:t>OPT-Test</w:t>
            </w:r>
          </w:p>
        </w:tc>
      </w:tr>
      <w:tr w:rsidR="00CD0056" w14:paraId="0C0D0849" w14:textId="77777777" w:rsidTr="00F74A66">
        <w:trPr>
          <w:cantSplit/>
          <w:trHeight w:val="389"/>
          <w:tblHeader/>
        </w:trPr>
        <w:tc>
          <w:tcPr>
            <w:tcW w:w="2880" w:type="dxa"/>
          </w:tcPr>
          <w:p w14:paraId="1F2C24A0" w14:textId="77777777" w:rsidR="00CD0056" w:rsidRDefault="00CD0056" w:rsidP="00DD4C00"/>
        </w:tc>
        <w:tc>
          <w:tcPr>
            <w:tcW w:w="2880" w:type="dxa"/>
          </w:tcPr>
          <w:p w14:paraId="7B85DFDE" w14:textId="77777777" w:rsidR="00CD0056" w:rsidRDefault="00CD0056" w:rsidP="00DD4C00"/>
        </w:tc>
        <w:tc>
          <w:tcPr>
            <w:tcW w:w="2880" w:type="dxa"/>
          </w:tcPr>
          <w:p w14:paraId="59EA4E5E" w14:textId="77777777" w:rsidR="00CD0056" w:rsidRDefault="00CD0056" w:rsidP="00DD4C00"/>
        </w:tc>
        <w:tc>
          <w:tcPr>
            <w:tcW w:w="2880" w:type="dxa"/>
          </w:tcPr>
          <w:p w14:paraId="0CCD5CC5" w14:textId="77777777" w:rsidR="00CD0056" w:rsidRDefault="00CD0056" w:rsidP="00DD4C00"/>
        </w:tc>
        <w:tc>
          <w:tcPr>
            <w:tcW w:w="2880" w:type="dxa"/>
          </w:tcPr>
          <w:p w14:paraId="3D6CA544" w14:textId="77777777" w:rsidR="00CD0056" w:rsidRDefault="00CD0056" w:rsidP="00DD4C00"/>
        </w:tc>
      </w:tr>
      <w:tr w:rsidR="00CD0056" w14:paraId="19EB5A74" w14:textId="77777777" w:rsidTr="00F74A66">
        <w:trPr>
          <w:cantSplit/>
          <w:trHeight w:val="389"/>
          <w:tblHeader/>
        </w:trPr>
        <w:tc>
          <w:tcPr>
            <w:tcW w:w="2880" w:type="dxa"/>
          </w:tcPr>
          <w:p w14:paraId="6B037F2E" w14:textId="77777777" w:rsidR="00CD0056" w:rsidRDefault="00CD0056" w:rsidP="00DD4C00"/>
        </w:tc>
        <w:tc>
          <w:tcPr>
            <w:tcW w:w="2880" w:type="dxa"/>
          </w:tcPr>
          <w:p w14:paraId="0032FD6D" w14:textId="77777777" w:rsidR="00CD0056" w:rsidRDefault="00CD0056" w:rsidP="00DD4C00"/>
        </w:tc>
        <w:tc>
          <w:tcPr>
            <w:tcW w:w="2880" w:type="dxa"/>
          </w:tcPr>
          <w:p w14:paraId="3F30FFDC" w14:textId="77777777" w:rsidR="00CD0056" w:rsidRDefault="00CD0056" w:rsidP="00DD4C00"/>
        </w:tc>
        <w:tc>
          <w:tcPr>
            <w:tcW w:w="2880" w:type="dxa"/>
          </w:tcPr>
          <w:p w14:paraId="55D47CC7" w14:textId="77777777" w:rsidR="00CD0056" w:rsidRDefault="00CD0056" w:rsidP="00DD4C00"/>
        </w:tc>
        <w:tc>
          <w:tcPr>
            <w:tcW w:w="2880" w:type="dxa"/>
          </w:tcPr>
          <w:p w14:paraId="53C3CF0F" w14:textId="77777777" w:rsidR="00CD0056" w:rsidRDefault="00CD0056" w:rsidP="00DD4C00"/>
        </w:tc>
      </w:tr>
      <w:tr w:rsidR="00CD0056" w14:paraId="612BD8E2" w14:textId="77777777" w:rsidTr="00F74A66">
        <w:trPr>
          <w:cantSplit/>
          <w:trHeight w:val="389"/>
          <w:tblHeader/>
        </w:trPr>
        <w:tc>
          <w:tcPr>
            <w:tcW w:w="2880" w:type="dxa"/>
          </w:tcPr>
          <w:p w14:paraId="74F9CC1C" w14:textId="77777777" w:rsidR="00CD0056" w:rsidRDefault="00CD0056" w:rsidP="00DD4C00"/>
        </w:tc>
        <w:tc>
          <w:tcPr>
            <w:tcW w:w="2880" w:type="dxa"/>
          </w:tcPr>
          <w:p w14:paraId="2E184250" w14:textId="77777777" w:rsidR="00CD0056" w:rsidRDefault="00CD0056" w:rsidP="00DD4C00"/>
        </w:tc>
        <w:tc>
          <w:tcPr>
            <w:tcW w:w="2880" w:type="dxa"/>
          </w:tcPr>
          <w:p w14:paraId="73B4BF84" w14:textId="77777777" w:rsidR="00CD0056" w:rsidRDefault="00CD0056" w:rsidP="00DD4C00"/>
        </w:tc>
        <w:tc>
          <w:tcPr>
            <w:tcW w:w="2880" w:type="dxa"/>
          </w:tcPr>
          <w:p w14:paraId="78241D97" w14:textId="77777777" w:rsidR="00CD0056" w:rsidRDefault="00CD0056" w:rsidP="00DD4C00"/>
        </w:tc>
        <w:tc>
          <w:tcPr>
            <w:tcW w:w="2880" w:type="dxa"/>
          </w:tcPr>
          <w:p w14:paraId="1C9026C3" w14:textId="77777777" w:rsidR="00CD0056" w:rsidRDefault="00CD0056" w:rsidP="00DD4C00"/>
        </w:tc>
      </w:tr>
      <w:tr w:rsidR="00CD0056" w14:paraId="31A1492D" w14:textId="77777777" w:rsidTr="00F74A66">
        <w:trPr>
          <w:cantSplit/>
          <w:trHeight w:val="389"/>
          <w:tblHeader/>
        </w:trPr>
        <w:tc>
          <w:tcPr>
            <w:tcW w:w="2880" w:type="dxa"/>
          </w:tcPr>
          <w:p w14:paraId="6A2C5255" w14:textId="77777777" w:rsidR="00CD0056" w:rsidRDefault="00CD0056" w:rsidP="00DD4C00"/>
        </w:tc>
        <w:tc>
          <w:tcPr>
            <w:tcW w:w="2880" w:type="dxa"/>
          </w:tcPr>
          <w:p w14:paraId="415F66DD" w14:textId="77777777" w:rsidR="00CD0056" w:rsidRDefault="00CD0056" w:rsidP="00DD4C00"/>
        </w:tc>
        <w:tc>
          <w:tcPr>
            <w:tcW w:w="2880" w:type="dxa"/>
          </w:tcPr>
          <w:p w14:paraId="03F9F9EA" w14:textId="77777777" w:rsidR="00CD0056" w:rsidRDefault="00CD0056" w:rsidP="00DD4C00"/>
        </w:tc>
        <w:tc>
          <w:tcPr>
            <w:tcW w:w="2880" w:type="dxa"/>
          </w:tcPr>
          <w:p w14:paraId="27F54061" w14:textId="77777777" w:rsidR="00CD0056" w:rsidRDefault="00CD0056" w:rsidP="00DD4C00"/>
        </w:tc>
        <w:tc>
          <w:tcPr>
            <w:tcW w:w="2880" w:type="dxa"/>
          </w:tcPr>
          <w:p w14:paraId="06B38FD3" w14:textId="77777777" w:rsidR="00CD0056" w:rsidRDefault="00CD0056" w:rsidP="00DD4C00"/>
        </w:tc>
      </w:tr>
      <w:tr w:rsidR="00CD0056" w14:paraId="394320CF" w14:textId="77777777" w:rsidTr="00F74A66">
        <w:trPr>
          <w:cantSplit/>
          <w:trHeight w:val="389"/>
          <w:tblHeader/>
        </w:trPr>
        <w:tc>
          <w:tcPr>
            <w:tcW w:w="2880" w:type="dxa"/>
          </w:tcPr>
          <w:p w14:paraId="13810DAE" w14:textId="77777777" w:rsidR="00CD0056" w:rsidRDefault="00CD0056" w:rsidP="00DD4C00"/>
        </w:tc>
        <w:tc>
          <w:tcPr>
            <w:tcW w:w="2880" w:type="dxa"/>
          </w:tcPr>
          <w:p w14:paraId="58F686E1" w14:textId="77777777" w:rsidR="00CD0056" w:rsidRDefault="00CD0056" w:rsidP="00DD4C00"/>
        </w:tc>
        <w:tc>
          <w:tcPr>
            <w:tcW w:w="2880" w:type="dxa"/>
          </w:tcPr>
          <w:p w14:paraId="04A14833" w14:textId="77777777" w:rsidR="00CD0056" w:rsidRDefault="00CD0056" w:rsidP="00DD4C00"/>
        </w:tc>
        <w:tc>
          <w:tcPr>
            <w:tcW w:w="2880" w:type="dxa"/>
          </w:tcPr>
          <w:p w14:paraId="3A5B7391" w14:textId="77777777" w:rsidR="00CD0056" w:rsidRDefault="00CD0056" w:rsidP="00DD4C00"/>
        </w:tc>
        <w:tc>
          <w:tcPr>
            <w:tcW w:w="2880" w:type="dxa"/>
          </w:tcPr>
          <w:p w14:paraId="616D4D80" w14:textId="77777777" w:rsidR="00CD0056" w:rsidRDefault="00CD0056" w:rsidP="00DD4C00"/>
        </w:tc>
      </w:tr>
      <w:tr w:rsidR="00CD0056" w14:paraId="28B31A9E" w14:textId="77777777" w:rsidTr="00F74A66">
        <w:trPr>
          <w:cantSplit/>
          <w:trHeight w:val="389"/>
          <w:tblHeader/>
        </w:trPr>
        <w:tc>
          <w:tcPr>
            <w:tcW w:w="2880" w:type="dxa"/>
          </w:tcPr>
          <w:p w14:paraId="5F4E81F5" w14:textId="77777777" w:rsidR="00CD0056" w:rsidRDefault="00CD0056" w:rsidP="00DD4C00"/>
        </w:tc>
        <w:tc>
          <w:tcPr>
            <w:tcW w:w="2880" w:type="dxa"/>
          </w:tcPr>
          <w:p w14:paraId="61DC8F42" w14:textId="77777777" w:rsidR="00CD0056" w:rsidRDefault="00CD0056" w:rsidP="00DD4C00"/>
        </w:tc>
        <w:tc>
          <w:tcPr>
            <w:tcW w:w="2880" w:type="dxa"/>
          </w:tcPr>
          <w:p w14:paraId="6570CF76" w14:textId="77777777" w:rsidR="00CD0056" w:rsidRDefault="00CD0056" w:rsidP="00DD4C00"/>
        </w:tc>
        <w:tc>
          <w:tcPr>
            <w:tcW w:w="2880" w:type="dxa"/>
          </w:tcPr>
          <w:p w14:paraId="33D3BEB4" w14:textId="77777777" w:rsidR="00CD0056" w:rsidRDefault="00CD0056" w:rsidP="00DD4C00"/>
        </w:tc>
        <w:tc>
          <w:tcPr>
            <w:tcW w:w="2880" w:type="dxa"/>
          </w:tcPr>
          <w:p w14:paraId="5D47DB40" w14:textId="77777777" w:rsidR="00CD0056" w:rsidRDefault="00CD0056" w:rsidP="00DD4C00"/>
        </w:tc>
      </w:tr>
      <w:tr w:rsidR="00CD0056" w14:paraId="19982B44" w14:textId="77777777" w:rsidTr="00F74A66">
        <w:trPr>
          <w:cantSplit/>
          <w:trHeight w:val="389"/>
          <w:tblHeader/>
        </w:trPr>
        <w:tc>
          <w:tcPr>
            <w:tcW w:w="2880" w:type="dxa"/>
          </w:tcPr>
          <w:p w14:paraId="7A10D63E" w14:textId="77777777" w:rsidR="00CD0056" w:rsidRDefault="00CD0056" w:rsidP="00DD4C00"/>
        </w:tc>
        <w:tc>
          <w:tcPr>
            <w:tcW w:w="2880" w:type="dxa"/>
          </w:tcPr>
          <w:p w14:paraId="72F80739" w14:textId="77777777" w:rsidR="00CD0056" w:rsidRDefault="00CD0056" w:rsidP="00DD4C00"/>
        </w:tc>
        <w:tc>
          <w:tcPr>
            <w:tcW w:w="2880" w:type="dxa"/>
          </w:tcPr>
          <w:p w14:paraId="303A1BE8" w14:textId="77777777" w:rsidR="00CD0056" w:rsidRDefault="00CD0056" w:rsidP="00DD4C00"/>
        </w:tc>
        <w:tc>
          <w:tcPr>
            <w:tcW w:w="2880" w:type="dxa"/>
          </w:tcPr>
          <w:p w14:paraId="404D530C" w14:textId="77777777" w:rsidR="00CD0056" w:rsidRDefault="00CD0056" w:rsidP="00DD4C00"/>
        </w:tc>
        <w:tc>
          <w:tcPr>
            <w:tcW w:w="2880" w:type="dxa"/>
          </w:tcPr>
          <w:p w14:paraId="7177BCF0" w14:textId="77777777" w:rsidR="00CD0056" w:rsidRDefault="00CD0056" w:rsidP="00DD4C00"/>
        </w:tc>
      </w:tr>
      <w:tr w:rsidR="00CD0056" w14:paraId="0DB36E43" w14:textId="77777777" w:rsidTr="00F74A66">
        <w:trPr>
          <w:cantSplit/>
          <w:trHeight w:val="389"/>
          <w:tblHeader/>
        </w:trPr>
        <w:tc>
          <w:tcPr>
            <w:tcW w:w="2880" w:type="dxa"/>
          </w:tcPr>
          <w:p w14:paraId="7DC08EB7" w14:textId="77777777" w:rsidR="00CD0056" w:rsidRDefault="00CD0056" w:rsidP="00DD4C00"/>
        </w:tc>
        <w:tc>
          <w:tcPr>
            <w:tcW w:w="2880" w:type="dxa"/>
          </w:tcPr>
          <w:p w14:paraId="5F2FF977" w14:textId="77777777" w:rsidR="00CD0056" w:rsidRDefault="00CD0056" w:rsidP="00DD4C00"/>
        </w:tc>
        <w:tc>
          <w:tcPr>
            <w:tcW w:w="2880" w:type="dxa"/>
          </w:tcPr>
          <w:p w14:paraId="4E823527" w14:textId="77777777" w:rsidR="00CD0056" w:rsidRDefault="00CD0056" w:rsidP="00DD4C00"/>
        </w:tc>
        <w:tc>
          <w:tcPr>
            <w:tcW w:w="2880" w:type="dxa"/>
          </w:tcPr>
          <w:p w14:paraId="743DFAB9" w14:textId="77777777" w:rsidR="00CD0056" w:rsidRDefault="00CD0056" w:rsidP="00DD4C00"/>
        </w:tc>
        <w:tc>
          <w:tcPr>
            <w:tcW w:w="2880" w:type="dxa"/>
          </w:tcPr>
          <w:p w14:paraId="08C87815" w14:textId="77777777" w:rsidR="00CD0056" w:rsidRDefault="00CD0056" w:rsidP="00DD4C00"/>
        </w:tc>
      </w:tr>
      <w:tr w:rsidR="00CD0056" w14:paraId="50317E03" w14:textId="77777777" w:rsidTr="00F74A66">
        <w:trPr>
          <w:cantSplit/>
          <w:trHeight w:val="389"/>
          <w:tblHeader/>
        </w:trPr>
        <w:tc>
          <w:tcPr>
            <w:tcW w:w="2880" w:type="dxa"/>
          </w:tcPr>
          <w:p w14:paraId="3799AF65" w14:textId="77777777" w:rsidR="00CD0056" w:rsidRDefault="00CD0056" w:rsidP="00DD4C00"/>
        </w:tc>
        <w:tc>
          <w:tcPr>
            <w:tcW w:w="2880" w:type="dxa"/>
          </w:tcPr>
          <w:p w14:paraId="1DEA923B" w14:textId="77777777" w:rsidR="00CD0056" w:rsidRDefault="00CD0056" w:rsidP="00DD4C00"/>
        </w:tc>
        <w:tc>
          <w:tcPr>
            <w:tcW w:w="2880" w:type="dxa"/>
          </w:tcPr>
          <w:p w14:paraId="4AF8A16C" w14:textId="77777777" w:rsidR="00CD0056" w:rsidRDefault="00CD0056" w:rsidP="00DD4C00"/>
        </w:tc>
        <w:tc>
          <w:tcPr>
            <w:tcW w:w="2880" w:type="dxa"/>
          </w:tcPr>
          <w:p w14:paraId="3F558AB8" w14:textId="77777777" w:rsidR="00CD0056" w:rsidRDefault="00CD0056" w:rsidP="00DD4C00"/>
        </w:tc>
        <w:tc>
          <w:tcPr>
            <w:tcW w:w="2880" w:type="dxa"/>
          </w:tcPr>
          <w:p w14:paraId="4FB7908E" w14:textId="77777777" w:rsidR="00CD0056" w:rsidRDefault="00CD0056" w:rsidP="00DD4C00"/>
        </w:tc>
      </w:tr>
      <w:tr w:rsidR="00CD0056" w14:paraId="3C0EC5FD" w14:textId="77777777" w:rsidTr="00F74A66">
        <w:trPr>
          <w:cantSplit/>
          <w:trHeight w:val="389"/>
          <w:tblHeader/>
        </w:trPr>
        <w:tc>
          <w:tcPr>
            <w:tcW w:w="2880" w:type="dxa"/>
          </w:tcPr>
          <w:p w14:paraId="15BC1E8C" w14:textId="77777777" w:rsidR="00CD0056" w:rsidRDefault="00CD0056" w:rsidP="00DD4C00"/>
        </w:tc>
        <w:tc>
          <w:tcPr>
            <w:tcW w:w="2880" w:type="dxa"/>
          </w:tcPr>
          <w:p w14:paraId="6CEC9216" w14:textId="77777777" w:rsidR="00CD0056" w:rsidRDefault="00CD0056" w:rsidP="00DD4C00"/>
        </w:tc>
        <w:tc>
          <w:tcPr>
            <w:tcW w:w="2880" w:type="dxa"/>
          </w:tcPr>
          <w:p w14:paraId="4AAD3CCB" w14:textId="77777777" w:rsidR="00CD0056" w:rsidRDefault="00CD0056" w:rsidP="00DD4C00"/>
        </w:tc>
        <w:tc>
          <w:tcPr>
            <w:tcW w:w="2880" w:type="dxa"/>
          </w:tcPr>
          <w:p w14:paraId="730219AD" w14:textId="77777777" w:rsidR="00CD0056" w:rsidRDefault="00CD0056" w:rsidP="00DD4C00"/>
        </w:tc>
        <w:tc>
          <w:tcPr>
            <w:tcW w:w="2880" w:type="dxa"/>
          </w:tcPr>
          <w:p w14:paraId="329FEB33" w14:textId="77777777" w:rsidR="00CD0056" w:rsidRDefault="00CD0056" w:rsidP="00DD4C00"/>
        </w:tc>
      </w:tr>
    </w:tbl>
    <w:p w14:paraId="68DC002B" w14:textId="5AFF5DBE" w:rsidR="00CD0056" w:rsidRDefault="00CD0056" w:rsidP="00DD4C00">
      <w:pPr>
        <w:spacing w:after="0"/>
      </w:pPr>
    </w:p>
    <w:p w14:paraId="75CD2AB4" w14:textId="213606C9" w:rsidR="00DD4C00" w:rsidRPr="00DD4C00" w:rsidRDefault="00DD4C00" w:rsidP="00201947">
      <w:pPr>
        <w:rPr>
          <w:rFonts w:asciiTheme="majorHAnsi" w:hAnsiTheme="majorHAnsi" w:cstheme="majorHAnsi"/>
          <w:szCs w:val="24"/>
        </w:rPr>
      </w:pPr>
      <w:r w:rsidRPr="00DD4C00">
        <w:rPr>
          <w:rFonts w:asciiTheme="majorHAnsi" w:hAnsiTheme="majorHAnsi" w:cstheme="majorHAnsi"/>
          <w:b/>
        </w:rPr>
        <w:br w:type="page"/>
      </w:r>
    </w:p>
    <w:p w14:paraId="316CA259" w14:textId="77777777" w:rsidR="00DD4C00" w:rsidRPr="00DD4C00" w:rsidRDefault="00DD4C00" w:rsidP="00A001C6">
      <w:pPr>
        <w:spacing w:after="0"/>
        <w:jc w:val="center"/>
        <w:outlineLvl w:val="0"/>
        <w:rPr>
          <w:rFonts w:asciiTheme="majorHAnsi" w:hAnsiTheme="majorHAnsi" w:cstheme="majorHAnsi"/>
          <w:b/>
          <w:szCs w:val="24"/>
        </w:rPr>
      </w:pPr>
      <w:r w:rsidRPr="00DD4C00">
        <w:rPr>
          <w:rFonts w:asciiTheme="majorHAnsi" w:hAnsiTheme="majorHAnsi" w:cstheme="majorHAnsi"/>
          <w:b/>
          <w:szCs w:val="24"/>
        </w:rPr>
        <w:lastRenderedPageBreak/>
        <w:t>Process Heater/Furnace Attributes</w:t>
      </w:r>
    </w:p>
    <w:p w14:paraId="2F9D0D65" w14:textId="77777777" w:rsidR="00DD4C00" w:rsidRPr="00DD4C00" w:rsidRDefault="00DD4C00" w:rsidP="00A001C6">
      <w:pPr>
        <w:spacing w:after="0"/>
        <w:jc w:val="center"/>
        <w:outlineLvl w:val="0"/>
        <w:rPr>
          <w:rFonts w:asciiTheme="majorHAnsi" w:hAnsiTheme="majorHAnsi" w:cstheme="majorHAnsi"/>
          <w:b/>
          <w:szCs w:val="24"/>
        </w:rPr>
      </w:pPr>
      <w:r w:rsidRPr="00DD4C00">
        <w:rPr>
          <w:rFonts w:asciiTheme="majorHAnsi" w:hAnsiTheme="majorHAnsi" w:cstheme="majorHAnsi"/>
          <w:b/>
          <w:szCs w:val="24"/>
        </w:rPr>
        <w:t>Form OP-UA5 (Page 16)</w:t>
      </w:r>
    </w:p>
    <w:p w14:paraId="3717A619" w14:textId="77777777" w:rsidR="00DD4C00" w:rsidRPr="00DD4C00" w:rsidRDefault="00DD4C00" w:rsidP="00A001C6">
      <w:pPr>
        <w:spacing w:after="0"/>
        <w:contextualSpacing/>
        <w:jc w:val="center"/>
        <w:outlineLvl w:val="0"/>
        <w:rPr>
          <w:b/>
          <w:bCs/>
        </w:rPr>
      </w:pPr>
      <w:r w:rsidRPr="00DD4C00">
        <w:rPr>
          <w:b/>
          <w:bCs/>
        </w:rPr>
        <w:t>Federal Operating Permit Program</w:t>
      </w:r>
    </w:p>
    <w:p w14:paraId="214BCEB9" w14:textId="77777777" w:rsidR="00DD4C00" w:rsidRPr="00DD4C00" w:rsidRDefault="00DD4C00" w:rsidP="00A001C6">
      <w:pPr>
        <w:spacing w:after="0"/>
        <w:contextualSpacing/>
        <w:jc w:val="center"/>
        <w:outlineLvl w:val="0"/>
        <w:rPr>
          <w:b/>
          <w:bCs/>
        </w:rPr>
      </w:pPr>
      <w:bookmarkStart w:id="50" w:name="TBL6g"/>
      <w:r w:rsidRPr="00DD4C00">
        <w:rPr>
          <w:b/>
          <w:bCs/>
        </w:rPr>
        <w:t>Table 6g</w:t>
      </w:r>
      <w:bookmarkEnd w:id="50"/>
      <w:r w:rsidRPr="00DD4C00">
        <w:rPr>
          <w:b/>
          <w:bCs/>
        </w:rPr>
        <w:t>:  Title 40 Code of Federal Regulations Part 63 (40 CFR Part 63)</w:t>
      </w:r>
    </w:p>
    <w:p w14:paraId="7446472D" w14:textId="53464CF2" w:rsidR="00DD4C00" w:rsidRDefault="00DD4C00" w:rsidP="00A001C6">
      <w:pPr>
        <w:spacing w:after="0"/>
        <w:contextualSpacing/>
        <w:jc w:val="center"/>
        <w:outlineLvl w:val="0"/>
        <w:rPr>
          <w:b/>
          <w:bCs/>
        </w:rPr>
      </w:pPr>
      <w:r w:rsidRPr="00DD4C00">
        <w:rPr>
          <w:b/>
          <w:bCs/>
        </w:rPr>
        <w:t xml:space="preserve">Subchapter DDDDD:  Industrial, Commercial, and </w:t>
      </w:r>
      <w:r w:rsidR="00E252A0">
        <w:rPr>
          <w:b/>
          <w:bCs/>
        </w:rPr>
        <w:t>Institutional</w:t>
      </w:r>
      <w:r w:rsidR="00E252A0" w:rsidRPr="00DD4C00">
        <w:rPr>
          <w:b/>
          <w:bCs/>
        </w:rPr>
        <w:t xml:space="preserve"> </w:t>
      </w:r>
      <w:r w:rsidRPr="00DD4C00">
        <w:rPr>
          <w:b/>
          <w:bCs/>
        </w:rPr>
        <w:t>Process Heaters</w:t>
      </w:r>
    </w:p>
    <w:p w14:paraId="4693A522" w14:textId="77777777" w:rsidR="00A82BE1" w:rsidRPr="00DD4C00" w:rsidRDefault="00A82BE1" w:rsidP="00A001C6">
      <w:pPr>
        <w:spacing w:after="0"/>
        <w:contextualSpacing/>
        <w:jc w:val="center"/>
        <w:outlineLvl w:val="0"/>
        <w:rPr>
          <w:rFonts w:eastAsia="Times New Roman" w:cs="Times New Roman"/>
          <w:b/>
          <w:bCs/>
          <w:lang w:bidi="en-US"/>
        </w:rPr>
      </w:pPr>
      <w:r w:rsidRPr="00DD4C00">
        <w:rPr>
          <w:rFonts w:eastAsia="Times New Roman" w:cs="Times New Roman"/>
          <w:b/>
          <w:bCs/>
          <w:lang w:bidi="en-US"/>
        </w:rPr>
        <w:t>Texas Commission on Environmental Quality</w:t>
      </w:r>
    </w:p>
    <w:p w14:paraId="47257D7D" w14:textId="77777777" w:rsidR="00DD4C00" w:rsidRPr="00DD4C00" w:rsidRDefault="00DD4C00" w:rsidP="00A001C6">
      <w:pPr>
        <w:spacing w:before="360" w:after="0"/>
        <w:jc w:val="center"/>
        <w:outlineLv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g:  Title 40 Code of Federal Regulations Part 63 (40 CFR Part 63)&#10;Subchapter DDDDD:  Industrial, Commercial, and Institutional Process Heaters&#10;&#10;&#10;&#10;&#10;&#10;&#10;"/>
      </w:tblPr>
      <w:tblGrid>
        <w:gridCol w:w="4800"/>
        <w:gridCol w:w="4800"/>
        <w:gridCol w:w="4800"/>
      </w:tblGrid>
      <w:tr w:rsidR="0093034F" w:rsidRPr="00756A95" w14:paraId="748D006B" w14:textId="77777777" w:rsidTr="00F263FF">
        <w:trPr>
          <w:cantSplit/>
          <w:tblHeader/>
        </w:trPr>
        <w:tc>
          <w:tcPr>
            <w:tcW w:w="4800" w:type="dxa"/>
            <w:shd w:val="clear" w:color="auto" w:fill="D9D9D9" w:themeFill="background1" w:themeFillShade="D9"/>
          </w:tcPr>
          <w:p w14:paraId="4976128C" w14:textId="77777777" w:rsidR="0093034F" w:rsidRPr="00756A95" w:rsidRDefault="0093034F" w:rsidP="00F263FF">
            <w:pPr>
              <w:jc w:val="center"/>
              <w:rPr>
                <w:rFonts w:cs="Times New Roman"/>
                <w:b/>
                <w:bCs/>
                <w:sz w:val="20"/>
                <w:szCs w:val="20"/>
              </w:rPr>
            </w:pPr>
            <w:r w:rsidRPr="00756A95">
              <w:rPr>
                <w:rFonts w:cs="Times New Roman"/>
                <w:b/>
                <w:bCs/>
                <w:sz w:val="20"/>
                <w:szCs w:val="20"/>
              </w:rPr>
              <w:t>Date</w:t>
            </w:r>
          </w:p>
        </w:tc>
        <w:tc>
          <w:tcPr>
            <w:tcW w:w="4800" w:type="dxa"/>
            <w:shd w:val="clear" w:color="auto" w:fill="D9D9D9" w:themeFill="background1" w:themeFillShade="D9"/>
          </w:tcPr>
          <w:p w14:paraId="51B2684A" w14:textId="77777777" w:rsidR="0093034F" w:rsidRPr="00756A95" w:rsidRDefault="0093034F" w:rsidP="00F263FF">
            <w:pPr>
              <w:jc w:val="center"/>
              <w:rPr>
                <w:rFonts w:cs="Times New Roman"/>
                <w:b/>
                <w:bCs/>
                <w:sz w:val="20"/>
                <w:szCs w:val="20"/>
              </w:rPr>
            </w:pPr>
            <w:r w:rsidRPr="00756A95">
              <w:rPr>
                <w:rFonts w:cs="Times New Roman"/>
                <w:b/>
                <w:bCs/>
                <w:sz w:val="20"/>
                <w:szCs w:val="20"/>
              </w:rPr>
              <w:t>Permit No.</w:t>
            </w:r>
          </w:p>
        </w:tc>
        <w:tc>
          <w:tcPr>
            <w:tcW w:w="4800" w:type="dxa"/>
            <w:shd w:val="clear" w:color="auto" w:fill="D9D9D9" w:themeFill="background1" w:themeFillShade="D9"/>
          </w:tcPr>
          <w:p w14:paraId="4457BA25" w14:textId="77777777" w:rsidR="0093034F" w:rsidRPr="00756A95" w:rsidRDefault="0093034F" w:rsidP="00F263FF">
            <w:pPr>
              <w:jc w:val="center"/>
              <w:rPr>
                <w:rFonts w:cs="Times New Roman"/>
                <w:b/>
                <w:bCs/>
                <w:sz w:val="20"/>
                <w:szCs w:val="20"/>
              </w:rPr>
            </w:pPr>
            <w:r w:rsidRPr="00756A95">
              <w:rPr>
                <w:rFonts w:cs="Times New Roman"/>
                <w:b/>
                <w:bCs/>
                <w:sz w:val="20"/>
                <w:szCs w:val="20"/>
              </w:rPr>
              <w:t>Regulated Entity No.</w:t>
            </w:r>
          </w:p>
        </w:tc>
      </w:tr>
      <w:tr w:rsidR="0093034F" w14:paraId="748ECB7E" w14:textId="77777777" w:rsidTr="00F263FF">
        <w:trPr>
          <w:cantSplit/>
          <w:tblHeader/>
        </w:trPr>
        <w:tc>
          <w:tcPr>
            <w:tcW w:w="4800" w:type="dxa"/>
          </w:tcPr>
          <w:p w14:paraId="6056070C" w14:textId="77777777" w:rsidR="0093034F" w:rsidRDefault="0093034F" w:rsidP="00F263FF">
            <w:pPr>
              <w:rPr>
                <w:rFonts w:asciiTheme="majorHAnsi" w:hAnsiTheme="majorHAnsi" w:cstheme="majorHAnsi"/>
              </w:rPr>
            </w:pPr>
          </w:p>
        </w:tc>
        <w:tc>
          <w:tcPr>
            <w:tcW w:w="4800" w:type="dxa"/>
          </w:tcPr>
          <w:p w14:paraId="5F595310" w14:textId="77777777" w:rsidR="0093034F" w:rsidRDefault="0093034F" w:rsidP="00F263FF">
            <w:pPr>
              <w:rPr>
                <w:rFonts w:asciiTheme="majorHAnsi" w:hAnsiTheme="majorHAnsi" w:cstheme="majorHAnsi"/>
              </w:rPr>
            </w:pPr>
          </w:p>
        </w:tc>
        <w:tc>
          <w:tcPr>
            <w:tcW w:w="4800" w:type="dxa"/>
          </w:tcPr>
          <w:p w14:paraId="00D488C0" w14:textId="77777777" w:rsidR="0093034F" w:rsidRDefault="0093034F" w:rsidP="00F263FF">
            <w:pPr>
              <w:rPr>
                <w:rFonts w:asciiTheme="majorHAnsi" w:hAnsiTheme="majorHAnsi" w:cstheme="majorHAnsi"/>
              </w:rPr>
            </w:pPr>
          </w:p>
        </w:tc>
      </w:tr>
    </w:tbl>
    <w:p w14:paraId="3ED2EBC9" w14:textId="2FD62BEA" w:rsidR="00DD4C00" w:rsidRDefault="00DD4C00" w:rsidP="00DD4C00">
      <w:pPr>
        <w:spacing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f:  Title 40 Code of Federal Regulations Part 63 (40 CFR Part 63)&#10;Subchapter DDDDD:  Industrial, Commercial, and Institutional Process Heaters&#10;"/>
      </w:tblPr>
      <w:tblGrid>
        <w:gridCol w:w="2400"/>
        <w:gridCol w:w="2400"/>
        <w:gridCol w:w="2400"/>
        <w:gridCol w:w="2400"/>
        <w:gridCol w:w="2400"/>
        <w:gridCol w:w="2400"/>
      </w:tblGrid>
      <w:tr w:rsidR="00F74A66" w14:paraId="0D5EE4D1" w14:textId="654047AD" w:rsidTr="00F74A66">
        <w:trPr>
          <w:cantSplit/>
          <w:trHeight w:val="389"/>
          <w:tblHeader/>
        </w:trPr>
        <w:tc>
          <w:tcPr>
            <w:tcW w:w="2400" w:type="dxa"/>
            <w:shd w:val="clear" w:color="auto" w:fill="D9D9D9" w:themeFill="background1" w:themeFillShade="D9"/>
            <w:vAlign w:val="center"/>
          </w:tcPr>
          <w:p w14:paraId="0B798B0D" w14:textId="399AF2EE" w:rsidR="00F74A66" w:rsidRPr="00F74A66" w:rsidRDefault="00F74A66" w:rsidP="00F74A66">
            <w:pPr>
              <w:jc w:val="center"/>
              <w:rPr>
                <w:sz w:val="20"/>
                <w:szCs w:val="20"/>
              </w:rPr>
            </w:pPr>
            <w:r w:rsidRPr="00F74A66">
              <w:rPr>
                <w:b/>
                <w:sz w:val="20"/>
                <w:szCs w:val="20"/>
              </w:rPr>
              <w:t>Unit ID No.</w:t>
            </w:r>
          </w:p>
        </w:tc>
        <w:tc>
          <w:tcPr>
            <w:tcW w:w="2400" w:type="dxa"/>
            <w:shd w:val="clear" w:color="auto" w:fill="D9D9D9" w:themeFill="background1" w:themeFillShade="D9"/>
            <w:vAlign w:val="center"/>
          </w:tcPr>
          <w:p w14:paraId="50D81F34" w14:textId="086664DD" w:rsidR="00F74A66" w:rsidRPr="00F74A66" w:rsidRDefault="00F74A66" w:rsidP="00F74A66">
            <w:pPr>
              <w:jc w:val="center"/>
              <w:rPr>
                <w:sz w:val="20"/>
                <w:szCs w:val="20"/>
              </w:rPr>
            </w:pPr>
            <w:r w:rsidRPr="00F74A66">
              <w:rPr>
                <w:b/>
                <w:sz w:val="20"/>
                <w:szCs w:val="20"/>
              </w:rPr>
              <w:t>SOP/GOP Index No.</w:t>
            </w:r>
          </w:p>
        </w:tc>
        <w:tc>
          <w:tcPr>
            <w:tcW w:w="2400" w:type="dxa"/>
            <w:shd w:val="clear" w:color="auto" w:fill="D9D9D9" w:themeFill="background1" w:themeFillShade="D9"/>
            <w:vAlign w:val="center"/>
          </w:tcPr>
          <w:p w14:paraId="0E31F18C" w14:textId="5B3821F0" w:rsidR="00F74A66" w:rsidRPr="00F74A66" w:rsidRDefault="00F74A66" w:rsidP="00F74A66">
            <w:pPr>
              <w:jc w:val="center"/>
              <w:rPr>
                <w:sz w:val="20"/>
                <w:szCs w:val="20"/>
              </w:rPr>
            </w:pPr>
            <w:r w:rsidRPr="00F74A66">
              <w:rPr>
                <w:b/>
                <w:bCs/>
                <w:sz w:val="20"/>
                <w:szCs w:val="20"/>
              </w:rPr>
              <w:t>SFF Subcategory</w:t>
            </w:r>
          </w:p>
        </w:tc>
        <w:tc>
          <w:tcPr>
            <w:tcW w:w="2400" w:type="dxa"/>
            <w:shd w:val="clear" w:color="auto" w:fill="D9D9D9" w:themeFill="background1" w:themeFillShade="D9"/>
            <w:vAlign w:val="center"/>
          </w:tcPr>
          <w:p w14:paraId="2D0C51AA" w14:textId="137AE21C" w:rsidR="00F74A66" w:rsidRPr="00F74A66" w:rsidRDefault="00F74A66" w:rsidP="00F74A66">
            <w:pPr>
              <w:jc w:val="center"/>
              <w:rPr>
                <w:sz w:val="20"/>
                <w:szCs w:val="20"/>
              </w:rPr>
            </w:pPr>
            <w:r w:rsidRPr="00F74A66">
              <w:rPr>
                <w:b/>
                <w:bCs/>
                <w:sz w:val="20"/>
                <w:szCs w:val="20"/>
              </w:rPr>
              <w:t>CO Emission</w:t>
            </w:r>
          </w:p>
        </w:tc>
        <w:tc>
          <w:tcPr>
            <w:tcW w:w="2400" w:type="dxa"/>
            <w:shd w:val="clear" w:color="auto" w:fill="D9D9D9" w:themeFill="background1" w:themeFillShade="D9"/>
            <w:vAlign w:val="center"/>
          </w:tcPr>
          <w:p w14:paraId="4CA5BD60" w14:textId="6C41118E" w:rsidR="00F74A66" w:rsidRPr="00F74A66" w:rsidRDefault="00F74A66" w:rsidP="00F74A66">
            <w:pPr>
              <w:jc w:val="center"/>
              <w:rPr>
                <w:sz w:val="20"/>
                <w:szCs w:val="20"/>
              </w:rPr>
            </w:pPr>
            <w:r w:rsidRPr="00F74A66">
              <w:rPr>
                <w:rFonts w:cs="Times New Roman"/>
                <w:b/>
                <w:bCs/>
                <w:sz w:val="20"/>
                <w:szCs w:val="20"/>
              </w:rPr>
              <w:t>CO-CMS</w:t>
            </w:r>
          </w:p>
        </w:tc>
        <w:tc>
          <w:tcPr>
            <w:tcW w:w="2400" w:type="dxa"/>
            <w:shd w:val="clear" w:color="auto" w:fill="D9D9D9" w:themeFill="background1" w:themeFillShade="D9"/>
            <w:vAlign w:val="center"/>
          </w:tcPr>
          <w:p w14:paraId="6E0A9EB9" w14:textId="174B5612" w:rsidR="00F74A66" w:rsidRPr="00F74A66" w:rsidRDefault="00F74A66" w:rsidP="00F74A66">
            <w:pPr>
              <w:jc w:val="center"/>
              <w:rPr>
                <w:sz w:val="20"/>
                <w:szCs w:val="20"/>
              </w:rPr>
            </w:pPr>
            <w:r w:rsidRPr="00F74A66">
              <w:rPr>
                <w:rFonts w:cs="Times New Roman"/>
                <w:b/>
                <w:bCs/>
                <w:sz w:val="20"/>
                <w:szCs w:val="20"/>
              </w:rPr>
              <w:t>CO-Test</w:t>
            </w:r>
          </w:p>
        </w:tc>
      </w:tr>
      <w:tr w:rsidR="00F74A66" w14:paraId="7BD90521" w14:textId="2878081C" w:rsidTr="00F74A66">
        <w:trPr>
          <w:cantSplit/>
          <w:trHeight w:val="389"/>
          <w:tblHeader/>
        </w:trPr>
        <w:tc>
          <w:tcPr>
            <w:tcW w:w="2400" w:type="dxa"/>
          </w:tcPr>
          <w:p w14:paraId="0C7CF0B5" w14:textId="77777777" w:rsidR="00F74A66" w:rsidRDefault="00F74A66" w:rsidP="00F263FF"/>
        </w:tc>
        <w:tc>
          <w:tcPr>
            <w:tcW w:w="2400" w:type="dxa"/>
          </w:tcPr>
          <w:p w14:paraId="302B0DDF" w14:textId="77777777" w:rsidR="00F74A66" w:rsidRDefault="00F74A66" w:rsidP="00F263FF"/>
        </w:tc>
        <w:tc>
          <w:tcPr>
            <w:tcW w:w="2400" w:type="dxa"/>
          </w:tcPr>
          <w:p w14:paraId="7EBFEDBD" w14:textId="77777777" w:rsidR="00F74A66" w:rsidRDefault="00F74A66" w:rsidP="00F263FF"/>
        </w:tc>
        <w:tc>
          <w:tcPr>
            <w:tcW w:w="2400" w:type="dxa"/>
          </w:tcPr>
          <w:p w14:paraId="241061AD" w14:textId="77777777" w:rsidR="00F74A66" w:rsidRDefault="00F74A66" w:rsidP="00F263FF"/>
        </w:tc>
        <w:tc>
          <w:tcPr>
            <w:tcW w:w="2400" w:type="dxa"/>
          </w:tcPr>
          <w:p w14:paraId="237FE09F" w14:textId="77777777" w:rsidR="00F74A66" w:rsidRDefault="00F74A66" w:rsidP="00F263FF"/>
        </w:tc>
        <w:tc>
          <w:tcPr>
            <w:tcW w:w="2400" w:type="dxa"/>
          </w:tcPr>
          <w:p w14:paraId="1FDBD90A" w14:textId="77777777" w:rsidR="00F74A66" w:rsidRDefault="00F74A66" w:rsidP="00F263FF"/>
        </w:tc>
      </w:tr>
      <w:tr w:rsidR="00F74A66" w14:paraId="1A8C8234" w14:textId="50221751" w:rsidTr="00F74A66">
        <w:trPr>
          <w:cantSplit/>
          <w:trHeight w:val="389"/>
          <w:tblHeader/>
        </w:trPr>
        <w:tc>
          <w:tcPr>
            <w:tcW w:w="2400" w:type="dxa"/>
          </w:tcPr>
          <w:p w14:paraId="4FA6CD3B" w14:textId="77777777" w:rsidR="00F74A66" w:rsidRDefault="00F74A66" w:rsidP="00F263FF"/>
        </w:tc>
        <w:tc>
          <w:tcPr>
            <w:tcW w:w="2400" w:type="dxa"/>
          </w:tcPr>
          <w:p w14:paraId="4D1C2F38" w14:textId="77777777" w:rsidR="00F74A66" w:rsidRDefault="00F74A66" w:rsidP="00F263FF"/>
        </w:tc>
        <w:tc>
          <w:tcPr>
            <w:tcW w:w="2400" w:type="dxa"/>
          </w:tcPr>
          <w:p w14:paraId="4D4C4891" w14:textId="77777777" w:rsidR="00F74A66" w:rsidRDefault="00F74A66" w:rsidP="00F263FF"/>
        </w:tc>
        <w:tc>
          <w:tcPr>
            <w:tcW w:w="2400" w:type="dxa"/>
          </w:tcPr>
          <w:p w14:paraId="0288B89F" w14:textId="77777777" w:rsidR="00F74A66" w:rsidRDefault="00F74A66" w:rsidP="00F263FF"/>
        </w:tc>
        <w:tc>
          <w:tcPr>
            <w:tcW w:w="2400" w:type="dxa"/>
          </w:tcPr>
          <w:p w14:paraId="521F6C59" w14:textId="77777777" w:rsidR="00F74A66" w:rsidRDefault="00F74A66" w:rsidP="00F263FF"/>
        </w:tc>
        <w:tc>
          <w:tcPr>
            <w:tcW w:w="2400" w:type="dxa"/>
          </w:tcPr>
          <w:p w14:paraId="46E57197" w14:textId="77777777" w:rsidR="00F74A66" w:rsidRDefault="00F74A66" w:rsidP="00F263FF"/>
        </w:tc>
      </w:tr>
      <w:tr w:rsidR="00F74A66" w14:paraId="4AC0423B" w14:textId="6B438EA9" w:rsidTr="00F74A66">
        <w:trPr>
          <w:cantSplit/>
          <w:trHeight w:val="389"/>
          <w:tblHeader/>
        </w:trPr>
        <w:tc>
          <w:tcPr>
            <w:tcW w:w="2400" w:type="dxa"/>
          </w:tcPr>
          <w:p w14:paraId="1B6BD6A4" w14:textId="77777777" w:rsidR="00F74A66" w:rsidRDefault="00F74A66" w:rsidP="00F263FF"/>
        </w:tc>
        <w:tc>
          <w:tcPr>
            <w:tcW w:w="2400" w:type="dxa"/>
          </w:tcPr>
          <w:p w14:paraId="13160B93" w14:textId="77777777" w:rsidR="00F74A66" w:rsidRDefault="00F74A66" w:rsidP="00F263FF"/>
        </w:tc>
        <w:tc>
          <w:tcPr>
            <w:tcW w:w="2400" w:type="dxa"/>
          </w:tcPr>
          <w:p w14:paraId="4FC6D081" w14:textId="77777777" w:rsidR="00F74A66" w:rsidRDefault="00F74A66" w:rsidP="00F263FF"/>
        </w:tc>
        <w:tc>
          <w:tcPr>
            <w:tcW w:w="2400" w:type="dxa"/>
          </w:tcPr>
          <w:p w14:paraId="1939D75B" w14:textId="77777777" w:rsidR="00F74A66" w:rsidRDefault="00F74A66" w:rsidP="00F263FF"/>
        </w:tc>
        <w:tc>
          <w:tcPr>
            <w:tcW w:w="2400" w:type="dxa"/>
          </w:tcPr>
          <w:p w14:paraId="5B078683" w14:textId="77777777" w:rsidR="00F74A66" w:rsidRDefault="00F74A66" w:rsidP="00F263FF"/>
        </w:tc>
        <w:tc>
          <w:tcPr>
            <w:tcW w:w="2400" w:type="dxa"/>
          </w:tcPr>
          <w:p w14:paraId="19C4DD50" w14:textId="77777777" w:rsidR="00F74A66" w:rsidRDefault="00F74A66" w:rsidP="00F263FF"/>
        </w:tc>
      </w:tr>
      <w:tr w:rsidR="00F74A66" w14:paraId="6C40A6DA" w14:textId="306AF98A" w:rsidTr="00F74A66">
        <w:trPr>
          <w:cantSplit/>
          <w:trHeight w:val="389"/>
          <w:tblHeader/>
        </w:trPr>
        <w:tc>
          <w:tcPr>
            <w:tcW w:w="2400" w:type="dxa"/>
          </w:tcPr>
          <w:p w14:paraId="4CB9A7D3" w14:textId="77777777" w:rsidR="00F74A66" w:rsidRDefault="00F74A66" w:rsidP="00F263FF"/>
        </w:tc>
        <w:tc>
          <w:tcPr>
            <w:tcW w:w="2400" w:type="dxa"/>
          </w:tcPr>
          <w:p w14:paraId="0968340E" w14:textId="77777777" w:rsidR="00F74A66" w:rsidRDefault="00F74A66" w:rsidP="00F263FF"/>
        </w:tc>
        <w:tc>
          <w:tcPr>
            <w:tcW w:w="2400" w:type="dxa"/>
          </w:tcPr>
          <w:p w14:paraId="7DA1ADDC" w14:textId="77777777" w:rsidR="00F74A66" w:rsidRDefault="00F74A66" w:rsidP="00F263FF"/>
        </w:tc>
        <w:tc>
          <w:tcPr>
            <w:tcW w:w="2400" w:type="dxa"/>
          </w:tcPr>
          <w:p w14:paraId="3E97DAA4" w14:textId="77777777" w:rsidR="00F74A66" w:rsidRDefault="00F74A66" w:rsidP="00F263FF"/>
        </w:tc>
        <w:tc>
          <w:tcPr>
            <w:tcW w:w="2400" w:type="dxa"/>
          </w:tcPr>
          <w:p w14:paraId="62AB9A05" w14:textId="77777777" w:rsidR="00F74A66" w:rsidRDefault="00F74A66" w:rsidP="00F263FF"/>
        </w:tc>
        <w:tc>
          <w:tcPr>
            <w:tcW w:w="2400" w:type="dxa"/>
          </w:tcPr>
          <w:p w14:paraId="12F3F4CF" w14:textId="77777777" w:rsidR="00F74A66" w:rsidRDefault="00F74A66" w:rsidP="00F263FF"/>
        </w:tc>
      </w:tr>
      <w:tr w:rsidR="00F74A66" w14:paraId="2AEE7B17" w14:textId="34035C3A" w:rsidTr="00F74A66">
        <w:trPr>
          <w:cantSplit/>
          <w:trHeight w:val="389"/>
          <w:tblHeader/>
        </w:trPr>
        <w:tc>
          <w:tcPr>
            <w:tcW w:w="2400" w:type="dxa"/>
          </w:tcPr>
          <w:p w14:paraId="074DEEC3" w14:textId="77777777" w:rsidR="00F74A66" w:rsidRDefault="00F74A66" w:rsidP="00F263FF"/>
        </w:tc>
        <w:tc>
          <w:tcPr>
            <w:tcW w:w="2400" w:type="dxa"/>
          </w:tcPr>
          <w:p w14:paraId="53CD622A" w14:textId="77777777" w:rsidR="00F74A66" w:rsidRDefault="00F74A66" w:rsidP="00F263FF"/>
        </w:tc>
        <w:tc>
          <w:tcPr>
            <w:tcW w:w="2400" w:type="dxa"/>
          </w:tcPr>
          <w:p w14:paraId="093BCF5C" w14:textId="77777777" w:rsidR="00F74A66" w:rsidRDefault="00F74A66" w:rsidP="00F263FF"/>
        </w:tc>
        <w:tc>
          <w:tcPr>
            <w:tcW w:w="2400" w:type="dxa"/>
          </w:tcPr>
          <w:p w14:paraId="568EB7B0" w14:textId="77777777" w:rsidR="00F74A66" w:rsidRDefault="00F74A66" w:rsidP="00F263FF"/>
        </w:tc>
        <w:tc>
          <w:tcPr>
            <w:tcW w:w="2400" w:type="dxa"/>
          </w:tcPr>
          <w:p w14:paraId="3C29CEC7" w14:textId="77777777" w:rsidR="00F74A66" w:rsidRDefault="00F74A66" w:rsidP="00F263FF"/>
        </w:tc>
        <w:tc>
          <w:tcPr>
            <w:tcW w:w="2400" w:type="dxa"/>
          </w:tcPr>
          <w:p w14:paraId="7FF5EB4B" w14:textId="77777777" w:rsidR="00F74A66" w:rsidRDefault="00F74A66" w:rsidP="00F263FF"/>
        </w:tc>
      </w:tr>
      <w:tr w:rsidR="00F74A66" w14:paraId="28E4CF0C" w14:textId="18508E5D" w:rsidTr="00F74A66">
        <w:trPr>
          <w:cantSplit/>
          <w:trHeight w:val="389"/>
          <w:tblHeader/>
        </w:trPr>
        <w:tc>
          <w:tcPr>
            <w:tcW w:w="2400" w:type="dxa"/>
          </w:tcPr>
          <w:p w14:paraId="19F4F02F" w14:textId="77777777" w:rsidR="00F74A66" w:rsidRDefault="00F74A66" w:rsidP="00F263FF"/>
        </w:tc>
        <w:tc>
          <w:tcPr>
            <w:tcW w:w="2400" w:type="dxa"/>
          </w:tcPr>
          <w:p w14:paraId="64AEF1D8" w14:textId="77777777" w:rsidR="00F74A66" w:rsidRDefault="00F74A66" w:rsidP="00F263FF"/>
        </w:tc>
        <w:tc>
          <w:tcPr>
            <w:tcW w:w="2400" w:type="dxa"/>
          </w:tcPr>
          <w:p w14:paraId="2680E335" w14:textId="77777777" w:rsidR="00F74A66" w:rsidRDefault="00F74A66" w:rsidP="00F263FF"/>
        </w:tc>
        <w:tc>
          <w:tcPr>
            <w:tcW w:w="2400" w:type="dxa"/>
          </w:tcPr>
          <w:p w14:paraId="399925C5" w14:textId="77777777" w:rsidR="00F74A66" w:rsidRDefault="00F74A66" w:rsidP="00F263FF"/>
        </w:tc>
        <w:tc>
          <w:tcPr>
            <w:tcW w:w="2400" w:type="dxa"/>
          </w:tcPr>
          <w:p w14:paraId="434AD547" w14:textId="77777777" w:rsidR="00F74A66" w:rsidRDefault="00F74A66" w:rsidP="00F263FF"/>
        </w:tc>
        <w:tc>
          <w:tcPr>
            <w:tcW w:w="2400" w:type="dxa"/>
          </w:tcPr>
          <w:p w14:paraId="657251D6" w14:textId="77777777" w:rsidR="00F74A66" w:rsidRDefault="00F74A66" w:rsidP="00F263FF"/>
        </w:tc>
      </w:tr>
      <w:tr w:rsidR="00F74A66" w14:paraId="63AA9624" w14:textId="6DBA6697" w:rsidTr="00F74A66">
        <w:trPr>
          <w:cantSplit/>
          <w:trHeight w:val="389"/>
          <w:tblHeader/>
        </w:trPr>
        <w:tc>
          <w:tcPr>
            <w:tcW w:w="2400" w:type="dxa"/>
          </w:tcPr>
          <w:p w14:paraId="6CE7D96C" w14:textId="77777777" w:rsidR="00F74A66" w:rsidRDefault="00F74A66" w:rsidP="00F263FF"/>
        </w:tc>
        <w:tc>
          <w:tcPr>
            <w:tcW w:w="2400" w:type="dxa"/>
          </w:tcPr>
          <w:p w14:paraId="158CEAD0" w14:textId="77777777" w:rsidR="00F74A66" w:rsidRDefault="00F74A66" w:rsidP="00F263FF"/>
        </w:tc>
        <w:tc>
          <w:tcPr>
            <w:tcW w:w="2400" w:type="dxa"/>
          </w:tcPr>
          <w:p w14:paraId="5A18FAAA" w14:textId="77777777" w:rsidR="00F74A66" w:rsidRDefault="00F74A66" w:rsidP="00F263FF"/>
        </w:tc>
        <w:tc>
          <w:tcPr>
            <w:tcW w:w="2400" w:type="dxa"/>
          </w:tcPr>
          <w:p w14:paraId="0B552214" w14:textId="77777777" w:rsidR="00F74A66" w:rsidRDefault="00F74A66" w:rsidP="00F263FF"/>
        </w:tc>
        <w:tc>
          <w:tcPr>
            <w:tcW w:w="2400" w:type="dxa"/>
          </w:tcPr>
          <w:p w14:paraId="5C091655" w14:textId="77777777" w:rsidR="00F74A66" w:rsidRDefault="00F74A66" w:rsidP="00F263FF"/>
        </w:tc>
        <w:tc>
          <w:tcPr>
            <w:tcW w:w="2400" w:type="dxa"/>
          </w:tcPr>
          <w:p w14:paraId="22FEA59E" w14:textId="77777777" w:rsidR="00F74A66" w:rsidRDefault="00F74A66" w:rsidP="00F263FF"/>
        </w:tc>
      </w:tr>
      <w:tr w:rsidR="00F74A66" w14:paraId="067910E5" w14:textId="1E24747E" w:rsidTr="00F74A66">
        <w:trPr>
          <w:cantSplit/>
          <w:trHeight w:val="389"/>
          <w:tblHeader/>
        </w:trPr>
        <w:tc>
          <w:tcPr>
            <w:tcW w:w="2400" w:type="dxa"/>
          </w:tcPr>
          <w:p w14:paraId="224EC60F" w14:textId="77777777" w:rsidR="00F74A66" w:rsidRDefault="00F74A66" w:rsidP="00F263FF"/>
        </w:tc>
        <w:tc>
          <w:tcPr>
            <w:tcW w:w="2400" w:type="dxa"/>
          </w:tcPr>
          <w:p w14:paraId="43110544" w14:textId="77777777" w:rsidR="00F74A66" w:rsidRDefault="00F74A66" w:rsidP="00F263FF"/>
        </w:tc>
        <w:tc>
          <w:tcPr>
            <w:tcW w:w="2400" w:type="dxa"/>
          </w:tcPr>
          <w:p w14:paraId="7F03D70B" w14:textId="77777777" w:rsidR="00F74A66" w:rsidRDefault="00F74A66" w:rsidP="00F263FF"/>
        </w:tc>
        <w:tc>
          <w:tcPr>
            <w:tcW w:w="2400" w:type="dxa"/>
          </w:tcPr>
          <w:p w14:paraId="515DBCED" w14:textId="77777777" w:rsidR="00F74A66" w:rsidRDefault="00F74A66" w:rsidP="00F263FF"/>
        </w:tc>
        <w:tc>
          <w:tcPr>
            <w:tcW w:w="2400" w:type="dxa"/>
          </w:tcPr>
          <w:p w14:paraId="1425BAB9" w14:textId="77777777" w:rsidR="00F74A66" w:rsidRDefault="00F74A66" w:rsidP="00F263FF"/>
        </w:tc>
        <w:tc>
          <w:tcPr>
            <w:tcW w:w="2400" w:type="dxa"/>
          </w:tcPr>
          <w:p w14:paraId="7795D44C" w14:textId="77777777" w:rsidR="00F74A66" w:rsidRDefault="00F74A66" w:rsidP="00F263FF"/>
        </w:tc>
      </w:tr>
      <w:tr w:rsidR="00F74A66" w14:paraId="362F7CF2" w14:textId="49FE4F3C" w:rsidTr="00F74A66">
        <w:trPr>
          <w:cantSplit/>
          <w:trHeight w:val="389"/>
          <w:tblHeader/>
        </w:trPr>
        <w:tc>
          <w:tcPr>
            <w:tcW w:w="2400" w:type="dxa"/>
          </w:tcPr>
          <w:p w14:paraId="6D89D1D1" w14:textId="77777777" w:rsidR="00F74A66" w:rsidRDefault="00F74A66" w:rsidP="00F263FF"/>
        </w:tc>
        <w:tc>
          <w:tcPr>
            <w:tcW w:w="2400" w:type="dxa"/>
          </w:tcPr>
          <w:p w14:paraId="5B433AB5" w14:textId="77777777" w:rsidR="00F74A66" w:rsidRDefault="00F74A66" w:rsidP="00F263FF"/>
        </w:tc>
        <w:tc>
          <w:tcPr>
            <w:tcW w:w="2400" w:type="dxa"/>
          </w:tcPr>
          <w:p w14:paraId="3D300E4A" w14:textId="77777777" w:rsidR="00F74A66" w:rsidRDefault="00F74A66" w:rsidP="00F263FF"/>
        </w:tc>
        <w:tc>
          <w:tcPr>
            <w:tcW w:w="2400" w:type="dxa"/>
          </w:tcPr>
          <w:p w14:paraId="77A1133B" w14:textId="77777777" w:rsidR="00F74A66" w:rsidRDefault="00F74A66" w:rsidP="00F263FF"/>
        </w:tc>
        <w:tc>
          <w:tcPr>
            <w:tcW w:w="2400" w:type="dxa"/>
          </w:tcPr>
          <w:p w14:paraId="796BC347" w14:textId="77777777" w:rsidR="00F74A66" w:rsidRDefault="00F74A66" w:rsidP="00F263FF"/>
        </w:tc>
        <w:tc>
          <w:tcPr>
            <w:tcW w:w="2400" w:type="dxa"/>
          </w:tcPr>
          <w:p w14:paraId="3C3292BB" w14:textId="77777777" w:rsidR="00F74A66" w:rsidRDefault="00F74A66" w:rsidP="00F263FF"/>
        </w:tc>
      </w:tr>
      <w:tr w:rsidR="00F74A66" w14:paraId="6D620225" w14:textId="7B33D2EB" w:rsidTr="00F74A66">
        <w:trPr>
          <w:cantSplit/>
          <w:trHeight w:val="389"/>
          <w:tblHeader/>
        </w:trPr>
        <w:tc>
          <w:tcPr>
            <w:tcW w:w="2400" w:type="dxa"/>
          </w:tcPr>
          <w:p w14:paraId="56D91705" w14:textId="77777777" w:rsidR="00F74A66" w:rsidRDefault="00F74A66" w:rsidP="00F263FF"/>
        </w:tc>
        <w:tc>
          <w:tcPr>
            <w:tcW w:w="2400" w:type="dxa"/>
          </w:tcPr>
          <w:p w14:paraId="6155031D" w14:textId="77777777" w:rsidR="00F74A66" w:rsidRDefault="00F74A66" w:rsidP="00F263FF"/>
        </w:tc>
        <w:tc>
          <w:tcPr>
            <w:tcW w:w="2400" w:type="dxa"/>
          </w:tcPr>
          <w:p w14:paraId="156569BF" w14:textId="77777777" w:rsidR="00F74A66" w:rsidRDefault="00F74A66" w:rsidP="00F263FF"/>
        </w:tc>
        <w:tc>
          <w:tcPr>
            <w:tcW w:w="2400" w:type="dxa"/>
          </w:tcPr>
          <w:p w14:paraId="6E9681AD" w14:textId="77777777" w:rsidR="00F74A66" w:rsidRDefault="00F74A66" w:rsidP="00F263FF"/>
        </w:tc>
        <w:tc>
          <w:tcPr>
            <w:tcW w:w="2400" w:type="dxa"/>
          </w:tcPr>
          <w:p w14:paraId="1EF9BA05" w14:textId="77777777" w:rsidR="00F74A66" w:rsidRDefault="00F74A66" w:rsidP="00F263FF"/>
        </w:tc>
        <w:tc>
          <w:tcPr>
            <w:tcW w:w="2400" w:type="dxa"/>
          </w:tcPr>
          <w:p w14:paraId="0E2F6A0D" w14:textId="77777777" w:rsidR="00F74A66" w:rsidRDefault="00F74A66" w:rsidP="00F263FF"/>
        </w:tc>
      </w:tr>
    </w:tbl>
    <w:p w14:paraId="7D251EB1" w14:textId="77777777" w:rsidR="00201947" w:rsidRPr="00201947" w:rsidRDefault="00201947" w:rsidP="00201947"/>
    <w:sectPr w:rsidR="00201947" w:rsidRPr="00201947" w:rsidSect="002750EA">
      <w:headerReference w:type="default" r:id="rId28"/>
      <w:footerReference w:type="default" r:id="rId29"/>
      <w:headerReference w:type="first" r:id="rId30"/>
      <w:footerReference w:type="first" r:id="rId3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206C" w14:textId="77777777" w:rsidR="00BD0226" w:rsidRDefault="00BD0226" w:rsidP="00DA0689">
      <w:pPr>
        <w:spacing w:after="0"/>
      </w:pPr>
      <w:r>
        <w:separator/>
      </w:r>
    </w:p>
    <w:p w14:paraId="4CD4222C" w14:textId="77777777" w:rsidR="00A12FAE" w:rsidRDefault="00A12FAE"/>
  </w:endnote>
  <w:endnote w:type="continuationSeparator" w:id="0">
    <w:p w14:paraId="57DBDCC4" w14:textId="77777777" w:rsidR="00BD0226" w:rsidRDefault="00BD0226" w:rsidP="00DA0689">
      <w:pPr>
        <w:spacing w:after="0"/>
      </w:pPr>
      <w:r>
        <w:continuationSeparator/>
      </w:r>
    </w:p>
    <w:p w14:paraId="30EB29FE" w14:textId="77777777" w:rsidR="00A12FAE" w:rsidRDefault="00A1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2CDA" w14:textId="4B247C75" w:rsidR="00901DD3" w:rsidRPr="002842EE" w:rsidRDefault="00901DD3" w:rsidP="002842EE">
    <w:pPr>
      <w:pStyle w:val="Footer"/>
      <w:rPr>
        <w:b/>
        <w:sz w:val="16"/>
      </w:rPr>
    </w:pPr>
    <w:r w:rsidRPr="002842EE">
      <w:rPr>
        <w:b/>
        <w:sz w:val="16"/>
      </w:rPr>
      <w:t>TCEQ 10025 (</w:t>
    </w:r>
    <w:r>
      <w:rPr>
        <w:b/>
        <w:sz w:val="16"/>
      </w:rPr>
      <w:t>APD-ID 3</w:t>
    </w:r>
    <w:r w:rsidR="00956E3B">
      <w:rPr>
        <w:b/>
        <w:sz w:val="16"/>
      </w:rPr>
      <w:t>9</w:t>
    </w:r>
    <w:r>
      <w:rPr>
        <w:b/>
        <w:sz w:val="16"/>
      </w:rPr>
      <w:t>v</w:t>
    </w:r>
    <w:r w:rsidR="00DD1F84">
      <w:rPr>
        <w:b/>
        <w:sz w:val="16"/>
      </w:rPr>
      <w:t>2.0</w:t>
    </w:r>
    <w:r w:rsidRPr="002842EE">
      <w:rPr>
        <w:b/>
        <w:sz w:val="16"/>
      </w:rPr>
      <w:t xml:space="preserve">, </w:t>
    </w:r>
    <w:r>
      <w:rPr>
        <w:b/>
        <w:sz w:val="16"/>
      </w:rPr>
      <w:t>r</w:t>
    </w:r>
    <w:r w:rsidRPr="002842EE">
      <w:rPr>
        <w:b/>
        <w:sz w:val="16"/>
      </w:rPr>
      <w:t xml:space="preserve">evised </w:t>
    </w:r>
    <w:r w:rsidR="00DD1F84">
      <w:rPr>
        <w:b/>
        <w:sz w:val="16"/>
      </w:rPr>
      <w:t>09/23</w:t>
    </w:r>
    <w:r w:rsidRPr="002842EE">
      <w:rPr>
        <w:b/>
        <w:sz w:val="16"/>
      </w:rPr>
      <w:t xml:space="preserve">) </w:t>
    </w:r>
    <w:r w:rsidR="005645C5">
      <w:rPr>
        <w:b/>
        <w:sz w:val="16"/>
      </w:rPr>
      <w:t>OP-UA5</w:t>
    </w:r>
  </w:p>
  <w:p w14:paraId="75D20C05" w14:textId="6409F4E8" w:rsidR="00901DD3" w:rsidRPr="00216277" w:rsidRDefault="00901DD3" w:rsidP="00216277">
    <w:pPr>
      <w:pStyle w:val="Footer"/>
      <w:tabs>
        <w:tab w:val="clear" w:pos="4680"/>
        <w:tab w:val="clear" w:pos="9360"/>
        <w:tab w:val="right" w:pos="10710"/>
      </w:tabs>
      <w:rPr>
        <w:b/>
        <w:sz w:val="16"/>
        <w:szCs w:val="16"/>
      </w:rPr>
    </w:pPr>
    <w:r w:rsidRPr="00216277">
      <w:rPr>
        <w:b/>
        <w:sz w:val="16"/>
        <w:szCs w:val="16"/>
      </w:rPr>
      <w:t xml:space="preserve">This form is for use by facilities subject to air quality permit requirements and may be revised periodically. (Title V release </w:t>
    </w:r>
    <w:r w:rsidR="00DD1F84">
      <w:rPr>
        <w:b/>
        <w:sz w:val="16"/>
        <w:szCs w:val="16"/>
      </w:rPr>
      <w:t>09/23</w:t>
    </w:r>
    <w:r w:rsidRPr="00216277">
      <w:rPr>
        <w:b/>
        <w:sz w:val="16"/>
        <w:szCs w:val="16"/>
      </w:rPr>
      <w:t>)</w:t>
    </w:r>
    <w:r w:rsidRPr="00216277">
      <w:rPr>
        <w:b/>
        <w:sz w:val="16"/>
        <w:szCs w:val="16"/>
      </w:rPr>
      <w:tab/>
      <w:t xml:space="preserve">Page </w:t>
    </w:r>
    <w:r w:rsidRPr="00216277">
      <w:rPr>
        <w:b/>
        <w:sz w:val="16"/>
        <w:szCs w:val="16"/>
      </w:rPr>
      <w:fldChar w:fldCharType="begin"/>
    </w:r>
    <w:r w:rsidRPr="00216277">
      <w:rPr>
        <w:b/>
        <w:sz w:val="16"/>
        <w:szCs w:val="16"/>
      </w:rPr>
      <w:instrText xml:space="preserve"> PAGE </w:instrText>
    </w:r>
    <w:r w:rsidRPr="00216277">
      <w:rPr>
        <w:b/>
        <w:sz w:val="16"/>
        <w:szCs w:val="16"/>
      </w:rPr>
      <w:fldChar w:fldCharType="separate"/>
    </w:r>
    <w:r w:rsidRPr="00216277">
      <w:rPr>
        <w:b/>
        <w:sz w:val="16"/>
        <w:szCs w:val="16"/>
      </w:rPr>
      <w:t>2</w:t>
    </w:r>
    <w:r w:rsidRPr="00216277">
      <w:rPr>
        <w:b/>
        <w:sz w:val="16"/>
        <w:szCs w:val="16"/>
      </w:rPr>
      <w:fldChar w:fldCharType="end"/>
    </w:r>
    <w:r w:rsidRPr="00216277">
      <w:rPr>
        <w:b/>
        <w:sz w:val="16"/>
        <w:szCs w:val="16"/>
      </w:rPr>
      <w:t xml:space="preserve"> of </w:t>
    </w:r>
    <w:r w:rsidR="00793C3D">
      <w:rPr>
        <w:b/>
        <w:sz w:val="16"/>
        <w:szCs w:val="16"/>
      </w:rPr>
      <w:t>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EF39" w14:textId="10CDEEFB" w:rsidR="00901DD3" w:rsidRPr="00216277" w:rsidRDefault="00901DD3" w:rsidP="00216277">
    <w:pPr>
      <w:pStyle w:val="Footer"/>
      <w:tabs>
        <w:tab w:val="clear" w:pos="4680"/>
        <w:tab w:val="clear" w:pos="9360"/>
        <w:tab w:val="right" w:pos="10710"/>
      </w:tabs>
      <w:rPr>
        <w:b/>
        <w:sz w:val="16"/>
        <w:szCs w:val="16"/>
      </w:rPr>
    </w:pPr>
    <w:r w:rsidRPr="00216277">
      <w:rPr>
        <w:b/>
        <w:sz w:val="16"/>
        <w:szCs w:val="16"/>
      </w:rPr>
      <w:t>TCEQ 10025 (APD-ID 3</w:t>
    </w:r>
    <w:r w:rsidR="00956E3B" w:rsidRPr="00216277">
      <w:rPr>
        <w:b/>
        <w:sz w:val="16"/>
        <w:szCs w:val="16"/>
      </w:rPr>
      <w:t>9</w:t>
    </w:r>
    <w:r w:rsidRPr="00216277">
      <w:rPr>
        <w:b/>
        <w:sz w:val="16"/>
        <w:szCs w:val="16"/>
      </w:rPr>
      <w:t>v</w:t>
    </w:r>
    <w:r w:rsidR="00DD1F84">
      <w:rPr>
        <w:b/>
        <w:sz w:val="16"/>
        <w:szCs w:val="16"/>
      </w:rPr>
      <w:t>2</w:t>
    </w:r>
    <w:r w:rsidRPr="00216277">
      <w:rPr>
        <w:b/>
        <w:sz w:val="16"/>
        <w:szCs w:val="16"/>
      </w:rPr>
      <w:t>.0, revised 0</w:t>
    </w:r>
    <w:r w:rsidR="00DD1F84">
      <w:rPr>
        <w:b/>
        <w:sz w:val="16"/>
        <w:szCs w:val="16"/>
      </w:rPr>
      <w:t>9/23</w:t>
    </w:r>
    <w:r w:rsidRPr="00216277">
      <w:rPr>
        <w:b/>
        <w:sz w:val="16"/>
        <w:szCs w:val="16"/>
      </w:rPr>
      <w:t xml:space="preserve">) </w:t>
    </w:r>
    <w:r w:rsidR="005645C5" w:rsidRPr="00216277">
      <w:rPr>
        <w:b/>
        <w:sz w:val="16"/>
        <w:szCs w:val="16"/>
      </w:rPr>
      <w:t>OP-UA5</w:t>
    </w:r>
  </w:p>
  <w:p w14:paraId="52143BA2" w14:textId="1E4D5E75" w:rsidR="00901DD3" w:rsidRPr="00216277" w:rsidRDefault="00901DD3" w:rsidP="00216277">
    <w:pPr>
      <w:pStyle w:val="Footer"/>
      <w:tabs>
        <w:tab w:val="clear" w:pos="4680"/>
        <w:tab w:val="clear" w:pos="9360"/>
        <w:tab w:val="right" w:pos="10710"/>
      </w:tabs>
      <w:rPr>
        <w:b/>
        <w:sz w:val="16"/>
        <w:szCs w:val="16"/>
      </w:rPr>
    </w:pPr>
    <w:r w:rsidRPr="00216277">
      <w:rPr>
        <w:b/>
        <w:sz w:val="16"/>
        <w:szCs w:val="16"/>
      </w:rPr>
      <w:t>This form is for use by facilities subject to air quality permit requirements and may be revised periodically. (Title V release 0</w:t>
    </w:r>
    <w:r w:rsidR="00DD1F84">
      <w:rPr>
        <w:b/>
        <w:sz w:val="16"/>
        <w:szCs w:val="16"/>
      </w:rPr>
      <w:t>9/23</w:t>
    </w:r>
    <w:r w:rsidRPr="00216277">
      <w:rPr>
        <w:b/>
        <w:sz w:val="16"/>
        <w:szCs w:val="16"/>
      </w:rPr>
      <w:t>)</w:t>
    </w:r>
    <w:r w:rsidRPr="00216277">
      <w:rPr>
        <w:b/>
        <w:sz w:val="16"/>
        <w:szCs w:val="16"/>
      </w:rPr>
      <w:tab/>
      <w:t>Page 1 of 2</w:t>
    </w:r>
    <w:r w:rsidR="00793C3D">
      <w:rPr>
        <w:b/>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4614" w14:textId="77777777" w:rsidR="00793C3D" w:rsidRPr="00216277" w:rsidRDefault="00793C3D" w:rsidP="00216277">
    <w:pPr>
      <w:pStyle w:val="Footer"/>
      <w:tabs>
        <w:tab w:val="clear" w:pos="4680"/>
        <w:tab w:val="clear" w:pos="9360"/>
        <w:tab w:val="right" w:pos="10710"/>
      </w:tabs>
      <w:rPr>
        <w:b/>
        <w:sz w:val="16"/>
        <w:szCs w:val="16"/>
      </w:rPr>
    </w:pPr>
    <w:r w:rsidRPr="00216277">
      <w:rPr>
        <w:b/>
        <w:sz w:val="16"/>
        <w:szCs w:val="16"/>
      </w:rPr>
      <w:t>TCEQ 10025 (APD-ID 39v</w:t>
    </w:r>
    <w:r>
      <w:rPr>
        <w:b/>
        <w:sz w:val="16"/>
        <w:szCs w:val="16"/>
      </w:rPr>
      <w:t>2</w:t>
    </w:r>
    <w:r w:rsidRPr="00216277">
      <w:rPr>
        <w:b/>
        <w:sz w:val="16"/>
        <w:szCs w:val="16"/>
      </w:rPr>
      <w:t>.0, revised 0</w:t>
    </w:r>
    <w:r>
      <w:rPr>
        <w:b/>
        <w:sz w:val="16"/>
        <w:szCs w:val="16"/>
      </w:rPr>
      <w:t>9/23</w:t>
    </w:r>
    <w:r w:rsidRPr="00216277">
      <w:rPr>
        <w:b/>
        <w:sz w:val="16"/>
        <w:szCs w:val="16"/>
      </w:rPr>
      <w:t>) OP-UA5</w:t>
    </w:r>
  </w:p>
  <w:p w14:paraId="21C5490E" w14:textId="5D24539A" w:rsidR="00793C3D" w:rsidRPr="00216277" w:rsidRDefault="00793C3D" w:rsidP="00216277">
    <w:pPr>
      <w:pStyle w:val="Footer"/>
      <w:tabs>
        <w:tab w:val="clear" w:pos="4680"/>
        <w:tab w:val="clear" w:pos="9360"/>
        <w:tab w:val="right" w:pos="10710"/>
      </w:tabs>
      <w:rPr>
        <w:b/>
        <w:sz w:val="16"/>
        <w:szCs w:val="16"/>
      </w:rPr>
    </w:pPr>
    <w:r w:rsidRPr="00216277">
      <w:rPr>
        <w:b/>
        <w:sz w:val="16"/>
        <w:szCs w:val="16"/>
      </w:rPr>
      <w:t>This form is for use by facilities subject to air quality permit requirements and may be revised periodically. (Title V release 0</w:t>
    </w:r>
    <w:r>
      <w:rPr>
        <w:b/>
        <w:sz w:val="16"/>
        <w:szCs w:val="16"/>
      </w:rPr>
      <w:t>9/23</w:t>
    </w:r>
    <w:r w:rsidRPr="00216277">
      <w:rPr>
        <w:b/>
        <w:sz w:val="16"/>
        <w:szCs w:val="16"/>
      </w:rPr>
      <w:t>)</w:t>
    </w:r>
    <w:r w:rsidRPr="00216277">
      <w:rPr>
        <w:b/>
        <w:sz w:val="16"/>
        <w:szCs w:val="16"/>
      </w:rPr>
      <w:tab/>
    </w:r>
    <w:r w:rsidRPr="00793C3D">
      <w:rPr>
        <w:b/>
        <w:sz w:val="16"/>
        <w:szCs w:val="16"/>
      </w:rPr>
      <w:t xml:space="preserve">Page </w:t>
    </w:r>
    <w:r w:rsidRPr="00793C3D">
      <w:rPr>
        <w:b/>
        <w:bCs/>
        <w:sz w:val="16"/>
        <w:szCs w:val="16"/>
      </w:rPr>
      <w:fldChar w:fldCharType="begin"/>
    </w:r>
    <w:r w:rsidRPr="00793C3D">
      <w:rPr>
        <w:b/>
        <w:bCs/>
        <w:sz w:val="16"/>
        <w:szCs w:val="16"/>
      </w:rPr>
      <w:instrText xml:space="preserve"> PAGE  \* Arabic  \* MERGEFORMAT </w:instrText>
    </w:r>
    <w:r w:rsidRPr="00793C3D">
      <w:rPr>
        <w:b/>
        <w:bCs/>
        <w:sz w:val="16"/>
        <w:szCs w:val="16"/>
      </w:rPr>
      <w:fldChar w:fldCharType="separate"/>
    </w:r>
    <w:r w:rsidRPr="00793C3D">
      <w:rPr>
        <w:b/>
        <w:bCs/>
        <w:noProof/>
        <w:sz w:val="16"/>
        <w:szCs w:val="16"/>
      </w:rPr>
      <w:t>1</w:t>
    </w:r>
    <w:r w:rsidRPr="00793C3D">
      <w:rPr>
        <w:b/>
        <w:bCs/>
        <w:sz w:val="16"/>
        <w:szCs w:val="16"/>
      </w:rPr>
      <w:fldChar w:fldCharType="end"/>
    </w:r>
    <w:r w:rsidRPr="00793C3D">
      <w:rPr>
        <w:b/>
        <w:sz w:val="16"/>
        <w:szCs w:val="16"/>
      </w:rPr>
      <w:t xml:space="preserve"> of</w:t>
    </w:r>
    <w:r>
      <w:rPr>
        <w:b/>
        <w:sz w:val="16"/>
        <w:szCs w:val="16"/>
      </w:rPr>
      <w:t xml:space="preserve"> 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D01" w14:textId="384CA29C" w:rsidR="00901DD3" w:rsidRPr="00DA36BC" w:rsidRDefault="00901DD3" w:rsidP="0042051E">
    <w:pPr>
      <w:pStyle w:val="Footer"/>
      <w:rPr>
        <w:b/>
        <w:sz w:val="16"/>
        <w:szCs w:val="16"/>
      </w:rPr>
    </w:pPr>
    <w:r w:rsidRPr="00DA36BC">
      <w:rPr>
        <w:b/>
        <w:sz w:val="16"/>
        <w:szCs w:val="16"/>
      </w:rPr>
      <w:t>TCEQ 10025 (APD-ID 3</w:t>
    </w:r>
    <w:r w:rsidR="00956E3B" w:rsidRPr="00DA36BC">
      <w:rPr>
        <w:b/>
        <w:sz w:val="16"/>
        <w:szCs w:val="16"/>
      </w:rPr>
      <w:t>9</w:t>
    </w:r>
    <w:r w:rsidRPr="00DA36BC">
      <w:rPr>
        <w:b/>
        <w:sz w:val="16"/>
        <w:szCs w:val="16"/>
      </w:rPr>
      <w:t>v</w:t>
    </w:r>
    <w:r w:rsidR="00DD1F84">
      <w:rPr>
        <w:b/>
        <w:sz w:val="16"/>
        <w:szCs w:val="16"/>
      </w:rPr>
      <w:t>2.0</w:t>
    </w:r>
    <w:r w:rsidRPr="00DA36BC">
      <w:rPr>
        <w:b/>
        <w:sz w:val="16"/>
        <w:szCs w:val="16"/>
      </w:rPr>
      <w:t xml:space="preserve">, revised </w:t>
    </w:r>
    <w:r w:rsidR="00DD1F84">
      <w:rPr>
        <w:b/>
        <w:sz w:val="16"/>
        <w:szCs w:val="16"/>
      </w:rPr>
      <w:t>09/23</w:t>
    </w:r>
    <w:r w:rsidRPr="00DA36BC">
      <w:rPr>
        <w:b/>
        <w:sz w:val="16"/>
        <w:szCs w:val="16"/>
      </w:rPr>
      <w:t xml:space="preserve">) </w:t>
    </w:r>
    <w:r w:rsidR="005645C5" w:rsidRPr="00DA36BC">
      <w:rPr>
        <w:b/>
        <w:sz w:val="16"/>
        <w:szCs w:val="16"/>
      </w:rPr>
      <w:t>OP-UA5</w:t>
    </w:r>
  </w:p>
  <w:p w14:paraId="4C8714D1" w14:textId="6F06FC75" w:rsidR="00901DD3" w:rsidRPr="00DA36BC" w:rsidRDefault="00901DD3" w:rsidP="00DA36BC">
    <w:pPr>
      <w:pStyle w:val="Footer"/>
      <w:tabs>
        <w:tab w:val="clear" w:pos="4680"/>
        <w:tab w:val="clear" w:pos="9360"/>
        <w:tab w:val="right" w:pos="14310"/>
      </w:tabs>
      <w:rPr>
        <w:b/>
        <w:bCs/>
        <w:sz w:val="16"/>
        <w:szCs w:val="16"/>
      </w:rPr>
    </w:pPr>
    <w:r w:rsidRPr="00DA36BC">
      <w:rPr>
        <w:b/>
        <w:sz w:val="16"/>
        <w:szCs w:val="16"/>
      </w:rPr>
      <w:t xml:space="preserve">This form is for use by facilities subject to air quality permit requirements and </w:t>
    </w:r>
    <w:r w:rsidRPr="00DA36BC">
      <w:rPr>
        <w:b/>
        <w:bCs/>
        <w:sz w:val="16"/>
        <w:szCs w:val="16"/>
      </w:rPr>
      <w:t xml:space="preserve">may be revised periodically. (Title V release </w:t>
    </w:r>
    <w:r w:rsidR="00DD1F84">
      <w:rPr>
        <w:b/>
        <w:bCs/>
        <w:sz w:val="16"/>
        <w:szCs w:val="16"/>
      </w:rPr>
      <w:t>09/23</w:t>
    </w:r>
    <w:r w:rsidRPr="00DA36BC">
      <w:rPr>
        <w:sz w:val="16"/>
        <w:szCs w:val="16"/>
      </w:rPr>
      <w:t>)</w:t>
    </w:r>
    <w:r w:rsidRPr="00DA36BC">
      <w:rPr>
        <w:sz w:val="16"/>
        <w:szCs w:val="16"/>
      </w:rPr>
      <w:tab/>
    </w:r>
    <w:r w:rsidRPr="00DA36BC">
      <w:rPr>
        <w:b/>
        <w:bCs/>
        <w:sz w:val="16"/>
        <w:szCs w:val="16"/>
      </w:rPr>
      <w:t xml:space="preserve">Page </w:t>
    </w:r>
    <w:r w:rsidRPr="00DA36BC">
      <w:rPr>
        <w:b/>
        <w:bCs/>
        <w:sz w:val="16"/>
        <w:szCs w:val="16"/>
        <w:u w:val="single"/>
      </w:rPr>
      <w:t>_______</w:t>
    </w:r>
    <w:r w:rsidRPr="00DA36BC">
      <w:rPr>
        <w:b/>
        <w:bCs/>
        <w:sz w:val="16"/>
        <w:szCs w:val="16"/>
      </w:rPr>
      <w:t xml:space="preserve"> of </w:t>
    </w:r>
    <w:r w:rsidRPr="00DA36BC">
      <w:rPr>
        <w:b/>
        <w:bCs/>
        <w:sz w:val="16"/>
        <w:szCs w:val="16"/>
        <w:u w:val="single"/>
      </w:rPr>
      <w:t>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7784" w14:textId="77777777" w:rsidR="00901DD3" w:rsidRPr="00DA0689" w:rsidRDefault="00901DD3" w:rsidP="00B81B50">
    <w:pPr>
      <w:pStyle w:val="APDFooterForm"/>
    </w:pPr>
    <w:r>
      <w:t>APD Footer Form</w:t>
    </w:r>
    <w:r>
      <w:tab/>
    </w:r>
    <w:r w:rsidRPr="000A236B">
      <w:t xml:space="preserve">Page </w:t>
    </w:r>
    <w:r>
      <w:rPr>
        <w:bCs/>
      </w:rPr>
      <w:t>_______</w:t>
    </w:r>
    <w:r w:rsidRPr="000A236B">
      <w:t xml:space="preserve"> of </w:t>
    </w:r>
    <w:r>
      <w:rPr>
        <w:bCs/>
      </w:rPr>
      <w:t xml:space="preserve">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FC94" w14:textId="77777777" w:rsidR="00BD0226" w:rsidRDefault="00BD0226" w:rsidP="00DA0689">
      <w:pPr>
        <w:spacing w:after="0"/>
      </w:pPr>
      <w:r>
        <w:separator/>
      </w:r>
    </w:p>
    <w:p w14:paraId="138904A2" w14:textId="77777777" w:rsidR="00A12FAE" w:rsidRDefault="00A12FAE"/>
  </w:footnote>
  <w:footnote w:type="continuationSeparator" w:id="0">
    <w:p w14:paraId="003DFDFA" w14:textId="77777777" w:rsidR="00BD0226" w:rsidRDefault="00BD0226" w:rsidP="00DA0689">
      <w:pPr>
        <w:spacing w:after="0"/>
      </w:pPr>
      <w:r>
        <w:continuationSeparator/>
      </w:r>
    </w:p>
    <w:p w14:paraId="00979149" w14:textId="77777777" w:rsidR="00A12FAE" w:rsidRDefault="00A12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408F" w14:textId="7452F746" w:rsidR="00901DD3" w:rsidRDefault="00901DD3" w:rsidP="00B81B50">
    <w:pPr>
      <w:pStyle w:val="APDPageHeader"/>
    </w:pPr>
    <w:r>
      <w:tab/>
    </w:r>
    <w:r w:rsidR="005645C5">
      <w:t>OP-UA5</w:t>
    </w:r>
    <w:r w:rsidRPr="002842EE">
      <w:t xml:space="preserv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83FD" w14:textId="77777777" w:rsidR="00901DD3" w:rsidRPr="0042051E" w:rsidRDefault="00901DD3" w:rsidP="003972BC">
    <w:pPr>
      <w:tabs>
        <w:tab w:val="right" w:pos="10710"/>
      </w:tabs>
      <w:rPr>
        <w:rFonts w:cs="Times New Roman"/>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0FC6" w14:textId="77777777" w:rsidR="00901DD3" w:rsidRDefault="00901D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003B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A35B44"/>
    <w:multiLevelType w:val="hybridMultilevel"/>
    <w:tmpl w:val="C7EC1B32"/>
    <w:lvl w:ilvl="0" w:tplc="9BC43C48">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15E0"/>
    <w:multiLevelType w:val="hybridMultilevel"/>
    <w:tmpl w:val="AF0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722A4"/>
    <w:multiLevelType w:val="hybridMultilevel"/>
    <w:tmpl w:val="D5129E48"/>
    <w:lvl w:ilvl="0" w:tplc="A1CC7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72A9F"/>
    <w:multiLevelType w:val="hybridMultilevel"/>
    <w:tmpl w:val="C66A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246D"/>
    <w:multiLevelType w:val="hybridMultilevel"/>
    <w:tmpl w:val="3846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30BCE"/>
    <w:multiLevelType w:val="hybridMultilevel"/>
    <w:tmpl w:val="C986B46C"/>
    <w:lvl w:ilvl="0" w:tplc="0C5EC1D0">
      <w:start w:val="1"/>
      <w:numFmt w:val="decimal"/>
      <w:pStyle w:val="APDNumber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C4D3C43"/>
    <w:multiLevelType w:val="hybridMultilevel"/>
    <w:tmpl w:val="A9C447BA"/>
    <w:lvl w:ilvl="0" w:tplc="3D7080F6">
      <w:start w:val="1"/>
      <w:numFmt w:val="bullet"/>
      <w:pStyle w:val="APD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97D6B"/>
    <w:multiLevelType w:val="hybridMultilevel"/>
    <w:tmpl w:val="69C8ACF2"/>
    <w:lvl w:ilvl="0" w:tplc="7492A1E2">
      <w:start w:val="1"/>
      <w:numFmt w:val="bullet"/>
      <w:lvlText w:val=""/>
      <w:lvlJc w:val="left"/>
      <w:pPr>
        <w:ind w:left="1267" w:hanging="360"/>
      </w:pPr>
      <w:rPr>
        <w:rFonts w:ascii="Symbol" w:hAnsi="Symbol" w:hint="default"/>
        <w:b w:val="0"/>
        <w:i w:val="0"/>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659A1D12"/>
    <w:multiLevelType w:val="hybridMultilevel"/>
    <w:tmpl w:val="B13AB00C"/>
    <w:lvl w:ilvl="0" w:tplc="53E87116">
      <w:start w:val="1"/>
      <w:numFmt w:val="bullet"/>
      <w:lvlText w:val=""/>
      <w:lvlJc w:val="left"/>
      <w:pPr>
        <w:ind w:left="360" w:hanging="360"/>
      </w:pPr>
      <w:rPr>
        <w:rFonts w:ascii="Wingdings 3" w:hAnsi="Wingdings 3" w:hint="default"/>
        <w:sz w:val="2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EF1CBE"/>
    <w:multiLevelType w:val="hybridMultilevel"/>
    <w:tmpl w:val="B9DCC110"/>
    <w:lvl w:ilvl="0" w:tplc="AFB6852A">
      <w:start w:val="1"/>
      <w:numFmt w:val="bullet"/>
      <w:pStyle w:val="ListBullet2"/>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3" w15:restartNumberingAfterBreak="0">
    <w:nsid w:val="76F2050F"/>
    <w:multiLevelType w:val="hybridMultilevel"/>
    <w:tmpl w:val="7FCC5CFA"/>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557156">
    <w:abstractNumId w:val="6"/>
  </w:num>
  <w:num w:numId="2" w16cid:durableId="1296449792">
    <w:abstractNumId w:val="3"/>
  </w:num>
  <w:num w:numId="3" w16cid:durableId="1019627687">
    <w:abstractNumId w:val="13"/>
  </w:num>
  <w:num w:numId="4" w16cid:durableId="1565330502">
    <w:abstractNumId w:val="10"/>
  </w:num>
  <w:num w:numId="5" w16cid:durableId="1967543114">
    <w:abstractNumId w:val="4"/>
  </w:num>
  <w:num w:numId="6" w16cid:durableId="43410949">
    <w:abstractNumId w:val="7"/>
  </w:num>
  <w:num w:numId="7" w16cid:durableId="585185101">
    <w:abstractNumId w:val="22"/>
  </w:num>
  <w:num w:numId="8" w16cid:durableId="1257522132">
    <w:abstractNumId w:val="5"/>
  </w:num>
  <w:num w:numId="9" w16cid:durableId="710541693">
    <w:abstractNumId w:val="21"/>
  </w:num>
  <w:num w:numId="10" w16cid:durableId="914587409">
    <w:abstractNumId w:val="8"/>
  </w:num>
  <w:num w:numId="11" w16cid:durableId="1268779103">
    <w:abstractNumId w:val="11"/>
  </w:num>
  <w:num w:numId="12" w16cid:durableId="581916641">
    <w:abstractNumId w:val="14"/>
  </w:num>
  <w:num w:numId="13" w16cid:durableId="2073196082">
    <w:abstractNumId w:val="2"/>
  </w:num>
  <w:num w:numId="14" w16cid:durableId="927811973">
    <w:abstractNumId w:val="24"/>
  </w:num>
  <w:num w:numId="15" w16cid:durableId="1179350037">
    <w:abstractNumId w:val="1"/>
  </w:num>
  <w:num w:numId="16" w16cid:durableId="429005295">
    <w:abstractNumId w:val="17"/>
  </w:num>
  <w:num w:numId="17" w16cid:durableId="532503919">
    <w:abstractNumId w:val="16"/>
  </w:num>
  <w:num w:numId="18" w16cid:durableId="474226919">
    <w:abstractNumId w:val="12"/>
  </w:num>
  <w:num w:numId="19" w16cid:durableId="629625694">
    <w:abstractNumId w:val="0"/>
  </w:num>
  <w:num w:numId="20" w16cid:durableId="2047558230">
    <w:abstractNumId w:val="20"/>
  </w:num>
  <w:num w:numId="21" w16cid:durableId="540021052">
    <w:abstractNumId w:val="9"/>
  </w:num>
  <w:num w:numId="22" w16cid:durableId="1870946310">
    <w:abstractNumId w:val="15"/>
  </w:num>
  <w:num w:numId="23" w16cid:durableId="956834775">
    <w:abstractNumId w:val="18"/>
  </w:num>
  <w:num w:numId="24" w16cid:durableId="1600985673">
    <w:abstractNumId w:val="23"/>
  </w:num>
  <w:num w:numId="25" w16cid:durableId="19763741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EztTQyMTczsrBU0lEKTi0uzszPAykwMqsFADoVpFEtAAAA"/>
  </w:docVars>
  <w:rsids>
    <w:rsidRoot w:val="00002E2D"/>
    <w:rsid w:val="000009B8"/>
    <w:rsid w:val="0000228E"/>
    <w:rsid w:val="00002E2D"/>
    <w:rsid w:val="00021741"/>
    <w:rsid w:val="00024303"/>
    <w:rsid w:val="000245A3"/>
    <w:rsid w:val="000251FE"/>
    <w:rsid w:val="00030FD6"/>
    <w:rsid w:val="0003155B"/>
    <w:rsid w:val="00032DB7"/>
    <w:rsid w:val="00037167"/>
    <w:rsid w:val="00061D9E"/>
    <w:rsid w:val="00072666"/>
    <w:rsid w:val="00077517"/>
    <w:rsid w:val="00081DDA"/>
    <w:rsid w:val="000822FA"/>
    <w:rsid w:val="000858C3"/>
    <w:rsid w:val="00091FA0"/>
    <w:rsid w:val="000956CE"/>
    <w:rsid w:val="000A236B"/>
    <w:rsid w:val="000B46A7"/>
    <w:rsid w:val="000B55BA"/>
    <w:rsid w:val="000D4E89"/>
    <w:rsid w:val="000D5197"/>
    <w:rsid w:val="000D67E0"/>
    <w:rsid w:val="000E4846"/>
    <w:rsid w:val="000F0A77"/>
    <w:rsid w:val="000F508A"/>
    <w:rsid w:val="000F626D"/>
    <w:rsid w:val="000F6684"/>
    <w:rsid w:val="00113429"/>
    <w:rsid w:val="001173FA"/>
    <w:rsid w:val="001207B1"/>
    <w:rsid w:val="001217E7"/>
    <w:rsid w:val="00123291"/>
    <w:rsid w:val="001260D6"/>
    <w:rsid w:val="00146EFF"/>
    <w:rsid w:val="001476D7"/>
    <w:rsid w:val="00147EF7"/>
    <w:rsid w:val="0015076C"/>
    <w:rsid w:val="0016487F"/>
    <w:rsid w:val="00164D7D"/>
    <w:rsid w:val="00186FA5"/>
    <w:rsid w:val="001979E3"/>
    <w:rsid w:val="001A3676"/>
    <w:rsid w:val="001A38D9"/>
    <w:rsid w:val="001A551F"/>
    <w:rsid w:val="001A6368"/>
    <w:rsid w:val="001B3B27"/>
    <w:rsid w:val="001C5BDC"/>
    <w:rsid w:val="001D72F7"/>
    <w:rsid w:val="001E38F0"/>
    <w:rsid w:val="001F078B"/>
    <w:rsid w:val="001F0981"/>
    <w:rsid w:val="001F1096"/>
    <w:rsid w:val="001F20E9"/>
    <w:rsid w:val="001F6CF1"/>
    <w:rsid w:val="00200BB5"/>
    <w:rsid w:val="0020158A"/>
    <w:rsid w:val="00201947"/>
    <w:rsid w:val="00212E5A"/>
    <w:rsid w:val="002159C5"/>
    <w:rsid w:val="00216277"/>
    <w:rsid w:val="00224DD2"/>
    <w:rsid w:val="00230D5F"/>
    <w:rsid w:val="00236777"/>
    <w:rsid w:val="00242B04"/>
    <w:rsid w:val="0025098F"/>
    <w:rsid w:val="002509CE"/>
    <w:rsid w:val="0025150A"/>
    <w:rsid w:val="00252EF2"/>
    <w:rsid w:val="00263DDE"/>
    <w:rsid w:val="00265949"/>
    <w:rsid w:val="00273CFE"/>
    <w:rsid w:val="002750EA"/>
    <w:rsid w:val="00276E5B"/>
    <w:rsid w:val="002842EE"/>
    <w:rsid w:val="0028573C"/>
    <w:rsid w:val="00286662"/>
    <w:rsid w:val="00290B66"/>
    <w:rsid w:val="0029133A"/>
    <w:rsid w:val="002966A0"/>
    <w:rsid w:val="002A186B"/>
    <w:rsid w:val="002A5EE0"/>
    <w:rsid w:val="002A609A"/>
    <w:rsid w:val="002B5D62"/>
    <w:rsid w:val="002B72D5"/>
    <w:rsid w:val="002D1C72"/>
    <w:rsid w:val="002D1CB8"/>
    <w:rsid w:val="002D20A1"/>
    <w:rsid w:val="002D245A"/>
    <w:rsid w:val="002E59E3"/>
    <w:rsid w:val="002E7C20"/>
    <w:rsid w:val="002F0E44"/>
    <w:rsid w:val="002F1692"/>
    <w:rsid w:val="002F3ED4"/>
    <w:rsid w:val="00301E04"/>
    <w:rsid w:val="00303504"/>
    <w:rsid w:val="003053B7"/>
    <w:rsid w:val="003104B4"/>
    <w:rsid w:val="003116EA"/>
    <w:rsid w:val="00312C0B"/>
    <w:rsid w:val="00321FD7"/>
    <w:rsid w:val="0032598D"/>
    <w:rsid w:val="00331C01"/>
    <w:rsid w:val="00334E26"/>
    <w:rsid w:val="003416DA"/>
    <w:rsid w:val="0034247B"/>
    <w:rsid w:val="00346903"/>
    <w:rsid w:val="00355F2B"/>
    <w:rsid w:val="003563E5"/>
    <w:rsid w:val="00357EE6"/>
    <w:rsid w:val="00361DA7"/>
    <w:rsid w:val="003632E8"/>
    <w:rsid w:val="0036344A"/>
    <w:rsid w:val="00365017"/>
    <w:rsid w:val="003742CB"/>
    <w:rsid w:val="0038101C"/>
    <w:rsid w:val="00383C20"/>
    <w:rsid w:val="003928B5"/>
    <w:rsid w:val="003949E5"/>
    <w:rsid w:val="003952FA"/>
    <w:rsid w:val="00395535"/>
    <w:rsid w:val="003972BC"/>
    <w:rsid w:val="003C27F7"/>
    <w:rsid w:val="003D71DA"/>
    <w:rsid w:val="003E2C33"/>
    <w:rsid w:val="003E3DFC"/>
    <w:rsid w:val="003F6F17"/>
    <w:rsid w:val="004054D9"/>
    <w:rsid w:val="004057F2"/>
    <w:rsid w:val="00416FC5"/>
    <w:rsid w:val="0042051E"/>
    <w:rsid w:val="00432EE8"/>
    <w:rsid w:val="00437364"/>
    <w:rsid w:val="00447288"/>
    <w:rsid w:val="00452C40"/>
    <w:rsid w:val="00455412"/>
    <w:rsid w:val="00457F42"/>
    <w:rsid w:val="0046304B"/>
    <w:rsid w:val="004634A1"/>
    <w:rsid w:val="00466193"/>
    <w:rsid w:val="00472401"/>
    <w:rsid w:val="00473327"/>
    <w:rsid w:val="004822FF"/>
    <w:rsid w:val="00484AB8"/>
    <w:rsid w:val="00484D3F"/>
    <w:rsid w:val="00494BE2"/>
    <w:rsid w:val="004954DB"/>
    <w:rsid w:val="004957F2"/>
    <w:rsid w:val="004A7894"/>
    <w:rsid w:val="004B58D3"/>
    <w:rsid w:val="004C1024"/>
    <w:rsid w:val="004C10B5"/>
    <w:rsid w:val="004C24D1"/>
    <w:rsid w:val="004C4C30"/>
    <w:rsid w:val="004D0255"/>
    <w:rsid w:val="004E1855"/>
    <w:rsid w:val="004E7FAD"/>
    <w:rsid w:val="004F0634"/>
    <w:rsid w:val="004F1904"/>
    <w:rsid w:val="004F4DCD"/>
    <w:rsid w:val="004F70DF"/>
    <w:rsid w:val="00507848"/>
    <w:rsid w:val="005146F6"/>
    <w:rsid w:val="00515F7E"/>
    <w:rsid w:val="00516D79"/>
    <w:rsid w:val="00520798"/>
    <w:rsid w:val="005229A3"/>
    <w:rsid w:val="00522F79"/>
    <w:rsid w:val="00533488"/>
    <w:rsid w:val="005346FE"/>
    <w:rsid w:val="00534C10"/>
    <w:rsid w:val="00540150"/>
    <w:rsid w:val="0054097C"/>
    <w:rsid w:val="005420E0"/>
    <w:rsid w:val="005537C7"/>
    <w:rsid w:val="00555F9E"/>
    <w:rsid w:val="0055640A"/>
    <w:rsid w:val="00556DAC"/>
    <w:rsid w:val="00560DD1"/>
    <w:rsid w:val="005612EC"/>
    <w:rsid w:val="005645C5"/>
    <w:rsid w:val="00566463"/>
    <w:rsid w:val="005728A6"/>
    <w:rsid w:val="005748B8"/>
    <w:rsid w:val="00577F3A"/>
    <w:rsid w:val="00585854"/>
    <w:rsid w:val="00585AAD"/>
    <w:rsid w:val="005A358A"/>
    <w:rsid w:val="005A3DB5"/>
    <w:rsid w:val="005B7C00"/>
    <w:rsid w:val="005C05C7"/>
    <w:rsid w:val="005C24F2"/>
    <w:rsid w:val="005C4BB6"/>
    <w:rsid w:val="005C6204"/>
    <w:rsid w:val="005C6B8D"/>
    <w:rsid w:val="005D534D"/>
    <w:rsid w:val="005D657B"/>
    <w:rsid w:val="005D692B"/>
    <w:rsid w:val="005D751F"/>
    <w:rsid w:val="005F4F1E"/>
    <w:rsid w:val="00601F58"/>
    <w:rsid w:val="00615652"/>
    <w:rsid w:val="0061768E"/>
    <w:rsid w:val="006211AD"/>
    <w:rsid w:val="00624192"/>
    <w:rsid w:val="00624285"/>
    <w:rsid w:val="00635BA8"/>
    <w:rsid w:val="00641703"/>
    <w:rsid w:val="00647ABB"/>
    <w:rsid w:val="00647F8A"/>
    <w:rsid w:val="00652318"/>
    <w:rsid w:val="00652E5B"/>
    <w:rsid w:val="0065382F"/>
    <w:rsid w:val="006538D0"/>
    <w:rsid w:val="00664995"/>
    <w:rsid w:val="0066743E"/>
    <w:rsid w:val="006707C0"/>
    <w:rsid w:val="00670DEA"/>
    <w:rsid w:val="00671244"/>
    <w:rsid w:val="00681902"/>
    <w:rsid w:val="006948BD"/>
    <w:rsid w:val="006A2A0C"/>
    <w:rsid w:val="006A5748"/>
    <w:rsid w:val="006B2636"/>
    <w:rsid w:val="006B4128"/>
    <w:rsid w:val="006C00B3"/>
    <w:rsid w:val="006C2FB6"/>
    <w:rsid w:val="006C695F"/>
    <w:rsid w:val="006D1EC1"/>
    <w:rsid w:val="006E16A0"/>
    <w:rsid w:val="006E46B6"/>
    <w:rsid w:val="006E5B83"/>
    <w:rsid w:val="006E6F24"/>
    <w:rsid w:val="006E6FBA"/>
    <w:rsid w:val="006E7239"/>
    <w:rsid w:val="006F0027"/>
    <w:rsid w:val="006F1197"/>
    <w:rsid w:val="006F7874"/>
    <w:rsid w:val="0070075A"/>
    <w:rsid w:val="00706071"/>
    <w:rsid w:val="007162AD"/>
    <w:rsid w:val="0073055D"/>
    <w:rsid w:val="0073332A"/>
    <w:rsid w:val="007346E3"/>
    <w:rsid w:val="0074338C"/>
    <w:rsid w:val="00747E38"/>
    <w:rsid w:val="00756ACE"/>
    <w:rsid w:val="0076145D"/>
    <w:rsid w:val="00765060"/>
    <w:rsid w:val="00772B1F"/>
    <w:rsid w:val="00776848"/>
    <w:rsid w:val="00787868"/>
    <w:rsid w:val="00787A02"/>
    <w:rsid w:val="007927CD"/>
    <w:rsid w:val="0079367D"/>
    <w:rsid w:val="00793C3D"/>
    <w:rsid w:val="007A2B45"/>
    <w:rsid w:val="007B1BAC"/>
    <w:rsid w:val="007B305D"/>
    <w:rsid w:val="007B54D6"/>
    <w:rsid w:val="007C0D8B"/>
    <w:rsid w:val="007D06F1"/>
    <w:rsid w:val="007D197C"/>
    <w:rsid w:val="007D4BE2"/>
    <w:rsid w:val="007F574F"/>
    <w:rsid w:val="008061EF"/>
    <w:rsid w:val="00807CED"/>
    <w:rsid w:val="00812990"/>
    <w:rsid w:val="00814E5F"/>
    <w:rsid w:val="00820AA9"/>
    <w:rsid w:val="00833E6A"/>
    <w:rsid w:val="0084291D"/>
    <w:rsid w:val="008456B3"/>
    <w:rsid w:val="0085420F"/>
    <w:rsid w:val="008561C6"/>
    <w:rsid w:val="008630F3"/>
    <w:rsid w:val="00864A6C"/>
    <w:rsid w:val="008659C0"/>
    <w:rsid w:val="00871643"/>
    <w:rsid w:val="00875C6B"/>
    <w:rsid w:val="0087666C"/>
    <w:rsid w:val="00877F8A"/>
    <w:rsid w:val="00881C5D"/>
    <w:rsid w:val="00882A1C"/>
    <w:rsid w:val="008873E3"/>
    <w:rsid w:val="008922F6"/>
    <w:rsid w:val="00893C3D"/>
    <w:rsid w:val="00894E9B"/>
    <w:rsid w:val="008955C1"/>
    <w:rsid w:val="00896FCC"/>
    <w:rsid w:val="008A12B7"/>
    <w:rsid w:val="008A3EC0"/>
    <w:rsid w:val="008A52E2"/>
    <w:rsid w:val="008B7156"/>
    <w:rsid w:val="008C666B"/>
    <w:rsid w:val="008D04A9"/>
    <w:rsid w:val="008D5912"/>
    <w:rsid w:val="008E1B5D"/>
    <w:rsid w:val="008E5DAB"/>
    <w:rsid w:val="008E729B"/>
    <w:rsid w:val="008F2630"/>
    <w:rsid w:val="008F3579"/>
    <w:rsid w:val="008F500D"/>
    <w:rsid w:val="008F588F"/>
    <w:rsid w:val="00901DD3"/>
    <w:rsid w:val="00902D02"/>
    <w:rsid w:val="00903D6E"/>
    <w:rsid w:val="00914E61"/>
    <w:rsid w:val="009204D8"/>
    <w:rsid w:val="009212F6"/>
    <w:rsid w:val="0093034F"/>
    <w:rsid w:val="00931B29"/>
    <w:rsid w:val="00943FBA"/>
    <w:rsid w:val="009516E6"/>
    <w:rsid w:val="00956E3B"/>
    <w:rsid w:val="00986A3D"/>
    <w:rsid w:val="00996CA7"/>
    <w:rsid w:val="00997A34"/>
    <w:rsid w:val="009A20D8"/>
    <w:rsid w:val="009A3869"/>
    <w:rsid w:val="009B01E5"/>
    <w:rsid w:val="009B2F92"/>
    <w:rsid w:val="009B51DA"/>
    <w:rsid w:val="009C0DFB"/>
    <w:rsid w:val="009C305A"/>
    <w:rsid w:val="009D4860"/>
    <w:rsid w:val="009D5D51"/>
    <w:rsid w:val="00A001C6"/>
    <w:rsid w:val="00A04A08"/>
    <w:rsid w:val="00A06718"/>
    <w:rsid w:val="00A10ACC"/>
    <w:rsid w:val="00A11EC4"/>
    <w:rsid w:val="00A12FAE"/>
    <w:rsid w:val="00A254FE"/>
    <w:rsid w:val="00A25DD6"/>
    <w:rsid w:val="00A35ACB"/>
    <w:rsid w:val="00A41B8A"/>
    <w:rsid w:val="00A4328E"/>
    <w:rsid w:val="00A51743"/>
    <w:rsid w:val="00A51D79"/>
    <w:rsid w:val="00A53DC2"/>
    <w:rsid w:val="00A552A4"/>
    <w:rsid w:val="00A560F2"/>
    <w:rsid w:val="00A70A6B"/>
    <w:rsid w:val="00A71097"/>
    <w:rsid w:val="00A71545"/>
    <w:rsid w:val="00A718F0"/>
    <w:rsid w:val="00A740BE"/>
    <w:rsid w:val="00A777D2"/>
    <w:rsid w:val="00A803CA"/>
    <w:rsid w:val="00A82767"/>
    <w:rsid w:val="00A82BE1"/>
    <w:rsid w:val="00A8425B"/>
    <w:rsid w:val="00A85016"/>
    <w:rsid w:val="00A91434"/>
    <w:rsid w:val="00A94735"/>
    <w:rsid w:val="00A96DCD"/>
    <w:rsid w:val="00AA150A"/>
    <w:rsid w:val="00AA770A"/>
    <w:rsid w:val="00AB24AD"/>
    <w:rsid w:val="00AC1921"/>
    <w:rsid w:val="00AC598E"/>
    <w:rsid w:val="00AC6456"/>
    <w:rsid w:val="00AC7938"/>
    <w:rsid w:val="00AD67CA"/>
    <w:rsid w:val="00AD741C"/>
    <w:rsid w:val="00AE0CB8"/>
    <w:rsid w:val="00AF3D29"/>
    <w:rsid w:val="00B01DA8"/>
    <w:rsid w:val="00B04F41"/>
    <w:rsid w:val="00B17066"/>
    <w:rsid w:val="00B214CD"/>
    <w:rsid w:val="00B231CA"/>
    <w:rsid w:val="00B324DF"/>
    <w:rsid w:val="00B35BA2"/>
    <w:rsid w:val="00B37F68"/>
    <w:rsid w:val="00B415A5"/>
    <w:rsid w:val="00B43A36"/>
    <w:rsid w:val="00B4571A"/>
    <w:rsid w:val="00B51879"/>
    <w:rsid w:val="00B67DD9"/>
    <w:rsid w:val="00B746A0"/>
    <w:rsid w:val="00B77496"/>
    <w:rsid w:val="00B806BA"/>
    <w:rsid w:val="00B81197"/>
    <w:rsid w:val="00B81514"/>
    <w:rsid w:val="00B81B50"/>
    <w:rsid w:val="00B85B51"/>
    <w:rsid w:val="00B94848"/>
    <w:rsid w:val="00BA02CB"/>
    <w:rsid w:val="00BA101A"/>
    <w:rsid w:val="00BA60B0"/>
    <w:rsid w:val="00BA7250"/>
    <w:rsid w:val="00BB1F6B"/>
    <w:rsid w:val="00BB2566"/>
    <w:rsid w:val="00BB31C3"/>
    <w:rsid w:val="00BB4267"/>
    <w:rsid w:val="00BB4D01"/>
    <w:rsid w:val="00BC3862"/>
    <w:rsid w:val="00BC6ACF"/>
    <w:rsid w:val="00BD0226"/>
    <w:rsid w:val="00BD07C4"/>
    <w:rsid w:val="00BD2869"/>
    <w:rsid w:val="00BD5008"/>
    <w:rsid w:val="00BE0782"/>
    <w:rsid w:val="00BF6718"/>
    <w:rsid w:val="00C006D6"/>
    <w:rsid w:val="00C00A94"/>
    <w:rsid w:val="00C046CF"/>
    <w:rsid w:val="00C04B04"/>
    <w:rsid w:val="00C06515"/>
    <w:rsid w:val="00C10E3D"/>
    <w:rsid w:val="00C24334"/>
    <w:rsid w:val="00C2451C"/>
    <w:rsid w:val="00C26383"/>
    <w:rsid w:val="00C3489A"/>
    <w:rsid w:val="00C36A21"/>
    <w:rsid w:val="00C37878"/>
    <w:rsid w:val="00C4350F"/>
    <w:rsid w:val="00C5053C"/>
    <w:rsid w:val="00C5657B"/>
    <w:rsid w:val="00C57E2A"/>
    <w:rsid w:val="00C64870"/>
    <w:rsid w:val="00C80F6E"/>
    <w:rsid w:val="00C91139"/>
    <w:rsid w:val="00C93832"/>
    <w:rsid w:val="00C97676"/>
    <w:rsid w:val="00CA0BCB"/>
    <w:rsid w:val="00CA79E6"/>
    <w:rsid w:val="00CB37D0"/>
    <w:rsid w:val="00CB6BF5"/>
    <w:rsid w:val="00CB6D76"/>
    <w:rsid w:val="00CC32DF"/>
    <w:rsid w:val="00CD0056"/>
    <w:rsid w:val="00CE5D6F"/>
    <w:rsid w:val="00CE66A6"/>
    <w:rsid w:val="00CE700E"/>
    <w:rsid w:val="00CF1204"/>
    <w:rsid w:val="00CF7739"/>
    <w:rsid w:val="00D12906"/>
    <w:rsid w:val="00D21A50"/>
    <w:rsid w:val="00D2215C"/>
    <w:rsid w:val="00D22AFB"/>
    <w:rsid w:val="00D34C1C"/>
    <w:rsid w:val="00D35786"/>
    <w:rsid w:val="00D3718D"/>
    <w:rsid w:val="00D37DEA"/>
    <w:rsid w:val="00D442CC"/>
    <w:rsid w:val="00D45DFD"/>
    <w:rsid w:val="00D522BB"/>
    <w:rsid w:val="00D52AF4"/>
    <w:rsid w:val="00D57542"/>
    <w:rsid w:val="00D6105B"/>
    <w:rsid w:val="00D647BE"/>
    <w:rsid w:val="00D76774"/>
    <w:rsid w:val="00D905FD"/>
    <w:rsid w:val="00D92F87"/>
    <w:rsid w:val="00D9339E"/>
    <w:rsid w:val="00D95696"/>
    <w:rsid w:val="00D96064"/>
    <w:rsid w:val="00D97A85"/>
    <w:rsid w:val="00DA0689"/>
    <w:rsid w:val="00DA36BC"/>
    <w:rsid w:val="00DA5C8A"/>
    <w:rsid w:val="00DB2089"/>
    <w:rsid w:val="00DB44A3"/>
    <w:rsid w:val="00DC4C65"/>
    <w:rsid w:val="00DC71B0"/>
    <w:rsid w:val="00DD1F84"/>
    <w:rsid w:val="00DD2350"/>
    <w:rsid w:val="00DD34C0"/>
    <w:rsid w:val="00DD4C00"/>
    <w:rsid w:val="00DD6DEE"/>
    <w:rsid w:val="00DE00A2"/>
    <w:rsid w:val="00DE0961"/>
    <w:rsid w:val="00DE44F4"/>
    <w:rsid w:val="00DF0C28"/>
    <w:rsid w:val="00DF103F"/>
    <w:rsid w:val="00DF549E"/>
    <w:rsid w:val="00DF6CB4"/>
    <w:rsid w:val="00E01EA6"/>
    <w:rsid w:val="00E0265F"/>
    <w:rsid w:val="00E03D8B"/>
    <w:rsid w:val="00E05126"/>
    <w:rsid w:val="00E07E6A"/>
    <w:rsid w:val="00E1171D"/>
    <w:rsid w:val="00E132A1"/>
    <w:rsid w:val="00E14639"/>
    <w:rsid w:val="00E150A2"/>
    <w:rsid w:val="00E17277"/>
    <w:rsid w:val="00E17B5D"/>
    <w:rsid w:val="00E23672"/>
    <w:rsid w:val="00E252A0"/>
    <w:rsid w:val="00E3046D"/>
    <w:rsid w:val="00E377C9"/>
    <w:rsid w:val="00E45703"/>
    <w:rsid w:val="00E51C13"/>
    <w:rsid w:val="00E543BF"/>
    <w:rsid w:val="00E56449"/>
    <w:rsid w:val="00E70FD3"/>
    <w:rsid w:val="00E71904"/>
    <w:rsid w:val="00E77D4E"/>
    <w:rsid w:val="00E81196"/>
    <w:rsid w:val="00E900D9"/>
    <w:rsid w:val="00E9185E"/>
    <w:rsid w:val="00E93A8C"/>
    <w:rsid w:val="00E9598E"/>
    <w:rsid w:val="00E97239"/>
    <w:rsid w:val="00EA266D"/>
    <w:rsid w:val="00EA3AE8"/>
    <w:rsid w:val="00EB2813"/>
    <w:rsid w:val="00EB33AF"/>
    <w:rsid w:val="00EC199B"/>
    <w:rsid w:val="00ED197F"/>
    <w:rsid w:val="00ED3FF7"/>
    <w:rsid w:val="00EE2E76"/>
    <w:rsid w:val="00F02DE3"/>
    <w:rsid w:val="00F06D9A"/>
    <w:rsid w:val="00F32A78"/>
    <w:rsid w:val="00F32AC9"/>
    <w:rsid w:val="00F34D85"/>
    <w:rsid w:val="00F4156C"/>
    <w:rsid w:val="00F51E05"/>
    <w:rsid w:val="00F53545"/>
    <w:rsid w:val="00F6151C"/>
    <w:rsid w:val="00F641C7"/>
    <w:rsid w:val="00F64D8B"/>
    <w:rsid w:val="00F6631C"/>
    <w:rsid w:val="00F74A66"/>
    <w:rsid w:val="00F7753B"/>
    <w:rsid w:val="00F85E3B"/>
    <w:rsid w:val="00F873ED"/>
    <w:rsid w:val="00F905D4"/>
    <w:rsid w:val="00F94A09"/>
    <w:rsid w:val="00F97D3D"/>
    <w:rsid w:val="00FA0FB0"/>
    <w:rsid w:val="00FA49DB"/>
    <w:rsid w:val="00FB4851"/>
    <w:rsid w:val="00FC08A0"/>
    <w:rsid w:val="00FC1BF9"/>
    <w:rsid w:val="00FC6156"/>
    <w:rsid w:val="00FC6AB3"/>
    <w:rsid w:val="00FD524F"/>
    <w:rsid w:val="00FE23E2"/>
    <w:rsid w:val="00FF1294"/>
    <w:rsid w:val="00FF1A29"/>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F3560"/>
  <w15:chartTrackingRefBased/>
  <w15:docId w15:val="{AC03AEE1-BD32-4C2E-B93E-B1278B2F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66"/>
    <w:rPr>
      <w:rFonts w:ascii="Times New Roman" w:hAnsi="Times New Roman"/>
    </w:rPr>
  </w:style>
  <w:style w:type="paragraph" w:styleId="Heading1">
    <w:name w:val="heading 1"/>
    <w:basedOn w:val="Normal"/>
    <w:next w:val="Normal"/>
    <w:link w:val="Heading1Char"/>
    <w:autoRedefine/>
    <w:uiPriority w:val="9"/>
    <w:rsid w:val="008D04A9"/>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rsid w:val="008D04A9"/>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rsid w:val="008D04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4A9"/>
    <w:rPr>
      <w:rFonts w:ascii="Times New Roman" w:eastAsiaTheme="majorEastAsia" w:hAnsi="Times New Roman" w:cstheme="majorBidi"/>
      <w:b/>
      <w:sz w:val="24"/>
      <w:szCs w:val="32"/>
    </w:rPr>
  </w:style>
  <w:style w:type="character" w:styleId="Hyperlink">
    <w:name w:val="Hyperlink"/>
    <w:aliases w:val="APD Hyperlink"/>
    <w:basedOn w:val="DefaultParagraphFont"/>
    <w:uiPriority w:val="99"/>
    <w:unhideWhenUsed/>
    <w:qFormat/>
    <w:rsid w:val="009D4860"/>
    <w:rPr>
      <w:rFonts w:asciiTheme="majorHAnsi" w:hAnsiTheme="majorHAnsi" w:cstheme="majorHAnsi"/>
      <w:color w:val="0000FF"/>
      <w:u w:val="single"/>
    </w:rPr>
  </w:style>
  <w:style w:type="character" w:styleId="UnresolvedMention">
    <w:name w:val="Unresolved Mention"/>
    <w:basedOn w:val="DefaultParagraphFont"/>
    <w:uiPriority w:val="99"/>
    <w:semiHidden/>
    <w:unhideWhenUsed/>
    <w:rsid w:val="008D04A9"/>
    <w:rPr>
      <w:color w:val="808080"/>
      <w:shd w:val="clear" w:color="auto" w:fill="E6E6E6"/>
    </w:rPr>
  </w:style>
  <w:style w:type="character" w:customStyle="1" w:styleId="Heading2Char">
    <w:name w:val="Heading 2 Char"/>
    <w:basedOn w:val="DefaultParagraphFont"/>
    <w:link w:val="Heading2"/>
    <w:uiPriority w:val="9"/>
    <w:rsid w:val="008D04A9"/>
    <w:rPr>
      <w:rFonts w:ascii="Times New Roman" w:eastAsiaTheme="majorEastAsia" w:hAnsi="Times New Roman" w:cstheme="majorBidi"/>
      <w:b/>
      <w:szCs w:val="26"/>
    </w:rPr>
  </w:style>
  <w:style w:type="character" w:styleId="FollowedHyperlink">
    <w:name w:val="FollowedHyperlink"/>
    <w:basedOn w:val="DefaultParagraphFont"/>
    <w:uiPriority w:val="99"/>
    <w:semiHidden/>
    <w:unhideWhenUsed/>
    <w:rsid w:val="008D04A9"/>
    <w:rPr>
      <w:color w:val="954F72" w:themeColor="followedHyperlink"/>
      <w:u w:val="single"/>
    </w:rPr>
  </w:style>
  <w:style w:type="paragraph" w:customStyle="1" w:styleId="APDBody">
    <w:name w:val="APD Body"/>
    <w:basedOn w:val="Normal"/>
    <w:qFormat/>
    <w:rsid w:val="008D04A9"/>
    <w:rPr>
      <w:rFonts w:cs="Times New Roman"/>
    </w:rPr>
  </w:style>
  <w:style w:type="table" w:styleId="TableGrid">
    <w:name w:val="Table Grid"/>
    <w:basedOn w:val="TableNormal"/>
    <w:rsid w:val="008D04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qFormat/>
    <w:rsid w:val="008D04A9"/>
    <w:pPr>
      <w:numPr>
        <w:numId w:val="15"/>
      </w:numPr>
      <w:tabs>
        <w:tab w:val="left" w:pos="547"/>
      </w:tabs>
      <w:spacing w:before="120"/>
      <w:ind w:left="547" w:hanging="547"/>
    </w:pPr>
    <w:rPr>
      <w:rFonts w:asciiTheme="majorHAnsi" w:hAnsiTheme="majorHAnsi" w:cstheme="majorHAnsi"/>
      <w:b/>
    </w:rPr>
  </w:style>
  <w:style w:type="paragraph" w:customStyle="1" w:styleId="APDContinueTriangleStyleList">
    <w:name w:val="APD Continue Triangle Style List"/>
    <w:basedOn w:val="Normal"/>
    <w:qFormat/>
    <w:rsid w:val="008D04A9"/>
    <w:pPr>
      <w:numPr>
        <w:numId w:val="1"/>
      </w:numPr>
      <w:tabs>
        <w:tab w:val="left" w:pos="547"/>
      </w:tabs>
      <w:spacing w:before="120"/>
      <w:ind w:left="547" w:hanging="547"/>
    </w:pPr>
    <w:rPr>
      <w:rFonts w:cs="Times New Roman"/>
      <w:b/>
    </w:rPr>
  </w:style>
  <w:style w:type="character" w:customStyle="1" w:styleId="Heading3Char">
    <w:name w:val="Heading 3 Char"/>
    <w:basedOn w:val="DefaultParagraphFont"/>
    <w:link w:val="Heading3"/>
    <w:uiPriority w:val="9"/>
    <w:rsid w:val="008D04A9"/>
    <w:rPr>
      <w:rFonts w:asciiTheme="majorHAnsi" w:eastAsiaTheme="majorEastAsia" w:hAnsiTheme="majorHAnsi" w:cstheme="majorBidi"/>
      <w:color w:val="1F3763" w:themeColor="accent1" w:themeShade="7F"/>
      <w:sz w:val="24"/>
      <w:szCs w:val="24"/>
    </w:rPr>
  </w:style>
  <w:style w:type="paragraph" w:customStyle="1" w:styleId="APDCodeDescriptionBOLD">
    <w:name w:val="APD Code Description BOLD"/>
    <w:basedOn w:val="Normal"/>
    <w:qFormat/>
    <w:rsid w:val="00331C01"/>
    <w:pPr>
      <w:tabs>
        <w:tab w:val="left" w:pos="720"/>
        <w:tab w:val="left" w:pos="2160"/>
      </w:tabs>
      <w:spacing w:after="0"/>
      <w:ind w:left="2880" w:hanging="2160"/>
    </w:pPr>
    <w:rPr>
      <w:rFonts w:cs="Times New Roman"/>
      <w:b/>
    </w:rPr>
  </w:style>
  <w:style w:type="paragraph" w:customStyle="1" w:styleId="APDPageHeader">
    <w:name w:val="APD Page Header"/>
    <w:basedOn w:val="Normal"/>
    <w:qFormat/>
    <w:rsid w:val="008D04A9"/>
    <w:pPr>
      <w:tabs>
        <w:tab w:val="right" w:pos="10800"/>
      </w:tabs>
      <w:spacing w:after="240"/>
      <w:jc w:val="right"/>
    </w:pPr>
    <w:rPr>
      <w:rFonts w:cs="Times New Roman"/>
      <w:b/>
    </w:rPr>
  </w:style>
  <w:style w:type="paragraph" w:customStyle="1" w:styleId="APDTABLE2Headerrow">
    <w:name w:val="APD TABLE 2 Header row"/>
    <w:qFormat/>
    <w:rsid w:val="008D04A9"/>
    <w:pPr>
      <w:spacing w:after="0"/>
      <w:jc w:val="center"/>
    </w:pPr>
    <w:rPr>
      <w:rFonts w:asciiTheme="majorHAnsi" w:hAnsiTheme="majorHAnsi" w:cstheme="majorHAnsi"/>
      <w:b/>
      <w:sz w:val="20"/>
      <w:szCs w:val="20"/>
    </w:rPr>
  </w:style>
  <w:style w:type="paragraph" w:customStyle="1" w:styleId="APDCodeList">
    <w:name w:val="APD Code List"/>
    <w:basedOn w:val="Normal"/>
    <w:qFormat/>
    <w:rsid w:val="003E3DFC"/>
    <w:pPr>
      <w:tabs>
        <w:tab w:val="left" w:pos="720"/>
        <w:tab w:val="left" w:pos="2160"/>
      </w:tabs>
      <w:spacing w:after="0"/>
      <w:ind w:left="2160" w:hanging="1440"/>
    </w:pPr>
    <w:rPr>
      <w:rFonts w:cs="Times New Roman"/>
    </w:rPr>
  </w:style>
  <w:style w:type="paragraph" w:customStyle="1" w:styleId="APDGeneral">
    <w:name w:val="APD General"/>
    <w:basedOn w:val="Normal"/>
    <w:qFormat/>
    <w:rsid w:val="008D04A9"/>
    <w:pPr>
      <w:spacing w:before="360"/>
      <w:outlineLvl w:val="1"/>
    </w:pPr>
    <w:rPr>
      <w:rFonts w:cs="Times New Roman"/>
      <w:b/>
    </w:rPr>
  </w:style>
  <w:style w:type="paragraph" w:customStyle="1" w:styleId="APDSpecific">
    <w:name w:val="APD Specific"/>
    <w:basedOn w:val="APDNumberList"/>
    <w:qFormat/>
    <w:rsid w:val="008D04A9"/>
    <w:pPr>
      <w:numPr>
        <w:numId w:val="0"/>
      </w:numPr>
      <w:ind w:left="547" w:hanging="547"/>
      <w:outlineLvl w:val="1"/>
    </w:pPr>
    <w:rPr>
      <w:b/>
    </w:rPr>
  </w:style>
  <w:style w:type="paragraph" w:customStyle="1" w:styleId="APDTable1stSpecific">
    <w:name w:val="APD Table  1st Specific"/>
    <w:basedOn w:val="Normal"/>
    <w:qFormat/>
    <w:rsid w:val="008D04A9"/>
    <w:pPr>
      <w:tabs>
        <w:tab w:val="left" w:pos="2160"/>
      </w:tabs>
      <w:spacing w:before="120" w:after="0"/>
      <w:ind w:left="2160" w:hanging="2160"/>
    </w:pPr>
    <w:rPr>
      <w:b/>
    </w:rPr>
  </w:style>
  <w:style w:type="paragraph" w:customStyle="1" w:styleId="APDTable2ndSpecific">
    <w:name w:val="APD Table  2nd Specific"/>
    <w:basedOn w:val="Normal"/>
    <w:qFormat/>
    <w:rsid w:val="008D04A9"/>
    <w:pPr>
      <w:tabs>
        <w:tab w:val="left" w:pos="2160"/>
      </w:tabs>
      <w:ind w:left="2160"/>
    </w:pPr>
    <w:rPr>
      <w:rFonts w:cs="Times New Roman"/>
      <w:b/>
    </w:rPr>
  </w:style>
  <w:style w:type="paragraph" w:customStyle="1" w:styleId="APDHeadingLevel1">
    <w:name w:val="APD Heading Level 1"/>
    <w:basedOn w:val="HeadLevel1"/>
    <w:qFormat/>
    <w:rsid w:val="000F6684"/>
  </w:style>
  <w:style w:type="paragraph" w:customStyle="1" w:styleId="HeadLevel1">
    <w:name w:val="Head Level 1"/>
    <w:basedOn w:val="Normal"/>
    <w:qFormat/>
    <w:rsid w:val="0055640A"/>
    <w:pPr>
      <w:spacing w:after="0"/>
      <w:jc w:val="center"/>
    </w:pPr>
    <w:rPr>
      <w:rFonts w:asciiTheme="majorHAnsi" w:hAnsiTheme="majorHAnsi" w:cstheme="majorHAnsi"/>
      <w:b/>
      <w:szCs w:val="24"/>
    </w:rPr>
  </w:style>
  <w:style w:type="paragraph" w:customStyle="1" w:styleId="APDFooterForm">
    <w:name w:val="APD Footer Form"/>
    <w:basedOn w:val="Normal"/>
    <w:qFormat/>
    <w:rsid w:val="008D04A9"/>
    <w:pPr>
      <w:tabs>
        <w:tab w:val="right" w:pos="14328"/>
      </w:tabs>
      <w:spacing w:after="0"/>
    </w:pPr>
    <w:rPr>
      <w:b/>
      <w:sz w:val="16"/>
    </w:rPr>
  </w:style>
  <w:style w:type="paragraph" w:customStyle="1" w:styleId="APDFooterMain">
    <w:name w:val="APD Footer Main"/>
    <w:basedOn w:val="Normal"/>
    <w:qFormat/>
    <w:rsid w:val="008D04A9"/>
    <w:pPr>
      <w:tabs>
        <w:tab w:val="right" w:pos="10800"/>
      </w:tabs>
      <w:spacing w:after="0"/>
    </w:pPr>
    <w:rPr>
      <w:b/>
      <w:sz w:val="16"/>
    </w:rPr>
  </w:style>
  <w:style w:type="paragraph" w:customStyle="1" w:styleId="APDHeadingLevel1b">
    <w:name w:val="APD Heading Level 1b"/>
    <w:basedOn w:val="APDHeadingLevel1"/>
    <w:qFormat/>
    <w:rsid w:val="008D04A9"/>
  </w:style>
  <w:style w:type="paragraph" w:customStyle="1" w:styleId="APDBodyBOLDheader">
    <w:name w:val="APD Body BOLD header"/>
    <w:basedOn w:val="Normal"/>
    <w:qFormat/>
    <w:rsid w:val="008D04A9"/>
    <w:pPr>
      <w:spacing w:before="120" w:after="0"/>
    </w:pPr>
    <w:rPr>
      <w:rFonts w:cs="Times New Roman"/>
      <w:b/>
    </w:rPr>
  </w:style>
  <w:style w:type="paragraph" w:customStyle="1" w:styleId="Style">
    <w:name w:val="Style"/>
    <w:basedOn w:val="APDBody"/>
    <w:autoRedefine/>
    <w:rsid w:val="008D04A9"/>
    <w:pPr>
      <w:pBdr>
        <w:bottom w:val="double" w:sz="6" w:space="1" w:color="auto"/>
      </w:pBdr>
      <w:tabs>
        <w:tab w:val="left" w:pos="1440"/>
      </w:tabs>
      <w:ind w:firstLine="1440"/>
    </w:pPr>
    <w:rPr>
      <w:b/>
      <w:bCs/>
    </w:rPr>
  </w:style>
  <w:style w:type="paragraph" w:customStyle="1" w:styleId="APDBulletList">
    <w:name w:val="APD Bullet List"/>
    <w:basedOn w:val="Normal"/>
    <w:qFormat/>
    <w:rsid w:val="008D04A9"/>
    <w:pPr>
      <w:numPr>
        <w:numId w:val="16"/>
      </w:numPr>
      <w:tabs>
        <w:tab w:val="left" w:pos="1080"/>
        <w:tab w:val="left" w:pos="2160"/>
      </w:tabs>
      <w:spacing w:after="0"/>
      <w:ind w:left="1080" w:hanging="540"/>
      <w:contextualSpacing/>
    </w:pPr>
    <w:rPr>
      <w:rFonts w:cs="Times New Roman"/>
      <w:b/>
    </w:rPr>
  </w:style>
  <w:style w:type="paragraph" w:customStyle="1" w:styleId="APDNumberList">
    <w:name w:val="APD Number List"/>
    <w:basedOn w:val="Normal"/>
    <w:qFormat/>
    <w:rsid w:val="008D04A9"/>
    <w:pPr>
      <w:numPr>
        <w:numId w:val="17"/>
      </w:numPr>
      <w:tabs>
        <w:tab w:val="left" w:pos="1080"/>
      </w:tabs>
      <w:ind w:left="1080" w:hanging="540"/>
      <w:contextualSpacing/>
    </w:pPr>
  </w:style>
  <w:style w:type="paragraph" w:styleId="BalloonText">
    <w:name w:val="Balloon Text"/>
    <w:basedOn w:val="Normal"/>
    <w:link w:val="BalloonTextChar"/>
    <w:uiPriority w:val="99"/>
    <w:semiHidden/>
    <w:unhideWhenUsed/>
    <w:rsid w:val="008D04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A9"/>
    <w:rPr>
      <w:rFonts w:ascii="Segoe UI" w:hAnsi="Segoe UI" w:cs="Segoe UI"/>
      <w:sz w:val="18"/>
      <w:szCs w:val="18"/>
    </w:rPr>
  </w:style>
  <w:style w:type="paragraph" w:customStyle="1" w:styleId="APDTABLE1">
    <w:name w:val="APD TABLE 1"/>
    <w:basedOn w:val="Normal"/>
    <w:link w:val="APDTABLE1Char"/>
    <w:qFormat/>
    <w:rsid w:val="008D04A9"/>
    <w:pPr>
      <w:spacing w:after="0"/>
    </w:pPr>
    <w:rPr>
      <w:rFonts w:eastAsia="Times New Roman" w:cs="Times New Roman"/>
      <w:b/>
    </w:rPr>
  </w:style>
  <w:style w:type="character" w:customStyle="1" w:styleId="APDTABLE1Char">
    <w:name w:val="APD TABLE 1 Char"/>
    <w:basedOn w:val="DefaultParagraphFont"/>
    <w:link w:val="APDTABLE1"/>
    <w:rsid w:val="008D04A9"/>
    <w:rPr>
      <w:rFonts w:ascii="Times New Roman" w:eastAsia="Times New Roman" w:hAnsi="Times New Roman" w:cs="Times New Roman"/>
      <w:b/>
    </w:rPr>
  </w:style>
  <w:style w:type="paragraph" w:customStyle="1" w:styleId="APDItalicNOTE">
    <w:name w:val="APD Italic NOTE"/>
    <w:basedOn w:val="APDBody"/>
    <w:qFormat/>
    <w:rsid w:val="008D04A9"/>
    <w:pPr>
      <w:spacing w:before="120"/>
    </w:pPr>
    <w:rPr>
      <w:i/>
    </w:rPr>
  </w:style>
  <w:style w:type="paragraph" w:customStyle="1" w:styleId="APDTable2LOWERForm">
    <w:name w:val="APD Table 2LOWER Form"/>
    <w:basedOn w:val="APDTABLE2Headerrow"/>
    <w:qFormat/>
    <w:rsid w:val="008D04A9"/>
  </w:style>
  <w:style w:type="paragraph" w:customStyle="1" w:styleId="APDIndentbodyheader">
    <w:name w:val="APD Indent body header"/>
    <w:basedOn w:val="APDBody"/>
    <w:qFormat/>
    <w:rsid w:val="008D04A9"/>
    <w:pPr>
      <w:spacing w:before="240"/>
      <w:ind w:left="540"/>
    </w:pPr>
  </w:style>
  <w:style w:type="paragraph" w:customStyle="1" w:styleId="APDTableLowerForm">
    <w:name w:val="APD Table Lower Form"/>
    <w:basedOn w:val="Normal"/>
    <w:qFormat/>
    <w:rsid w:val="008D04A9"/>
    <w:rPr>
      <w:rFonts w:asciiTheme="majorHAnsi" w:hAnsiTheme="majorHAnsi" w:cstheme="majorHAnsi"/>
      <w:sz w:val="20"/>
    </w:rPr>
  </w:style>
  <w:style w:type="paragraph" w:styleId="Header">
    <w:name w:val="header"/>
    <w:basedOn w:val="Normal"/>
    <w:link w:val="HeaderChar"/>
    <w:unhideWhenUsed/>
    <w:rsid w:val="002842EE"/>
    <w:pPr>
      <w:tabs>
        <w:tab w:val="center" w:pos="4680"/>
        <w:tab w:val="right" w:pos="9360"/>
      </w:tabs>
      <w:spacing w:after="0"/>
    </w:pPr>
  </w:style>
  <w:style w:type="character" w:customStyle="1" w:styleId="HeaderChar">
    <w:name w:val="Header Char"/>
    <w:basedOn w:val="DefaultParagraphFont"/>
    <w:link w:val="Header"/>
    <w:rsid w:val="002842EE"/>
    <w:rPr>
      <w:rFonts w:ascii="Times New Roman" w:hAnsi="Times New Roman"/>
    </w:rPr>
  </w:style>
  <w:style w:type="paragraph" w:styleId="Footer">
    <w:name w:val="footer"/>
    <w:basedOn w:val="Normal"/>
    <w:link w:val="FooterChar"/>
    <w:uiPriority w:val="99"/>
    <w:unhideWhenUsed/>
    <w:qFormat/>
    <w:rsid w:val="002842EE"/>
    <w:pPr>
      <w:tabs>
        <w:tab w:val="center" w:pos="4680"/>
        <w:tab w:val="right" w:pos="9360"/>
      </w:tabs>
      <w:spacing w:after="0"/>
    </w:pPr>
  </w:style>
  <w:style w:type="character" w:customStyle="1" w:styleId="FooterChar">
    <w:name w:val="Footer Char"/>
    <w:basedOn w:val="DefaultParagraphFont"/>
    <w:link w:val="Footer"/>
    <w:uiPriority w:val="99"/>
    <w:rsid w:val="002842EE"/>
    <w:rPr>
      <w:rFonts w:ascii="Times New Roman" w:hAnsi="Times New Roman"/>
    </w:rPr>
  </w:style>
  <w:style w:type="paragraph" w:styleId="ListBullet2">
    <w:name w:val="List Bullet 2"/>
    <w:basedOn w:val="Normal"/>
    <w:uiPriority w:val="99"/>
    <w:unhideWhenUsed/>
    <w:rsid w:val="006C695F"/>
    <w:pPr>
      <w:numPr>
        <w:numId w:val="20"/>
      </w:numPr>
      <w:contextualSpacing/>
    </w:pPr>
  </w:style>
  <w:style w:type="paragraph" w:styleId="ListParagraph">
    <w:name w:val="List Paragraph"/>
    <w:basedOn w:val="BodyText"/>
    <w:uiPriority w:val="34"/>
    <w:unhideWhenUsed/>
    <w:rsid w:val="00A803CA"/>
    <w:pPr>
      <w:ind w:left="1267" w:hanging="720"/>
      <w:contextualSpacing/>
    </w:pPr>
    <w:rPr>
      <w:rFonts w:eastAsia="Calibri" w:cs="Times New Roman"/>
      <w:lang w:bidi="en-US"/>
    </w:rPr>
  </w:style>
  <w:style w:type="paragraph" w:customStyle="1" w:styleId="APDFooter">
    <w:name w:val="APD Footer"/>
    <w:basedOn w:val="Footer"/>
    <w:uiPriority w:val="99"/>
    <w:rsid w:val="00A803CA"/>
    <w:pPr>
      <w:tabs>
        <w:tab w:val="clear" w:pos="4680"/>
        <w:tab w:val="clear" w:pos="9360"/>
        <w:tab w:val="right" w:pos="10800"/>
      </w:tabs>
    </w:pPr>
    <w:rPr>
      <w:rFonts w:eastAsia="Times New Roman" w:cs="Times New Roman"/>
      <w:b/>
      <w:sz w:val="16"/>
      <w:szCs w:val="16"/>
      <w:lang w:bidi="en-US"/>
    </w:rPr>
  </w:style>
  <w:style w:type="character" w:customStyle="1" w:styleId="APDCode">
    <w:name w:val="APD_Code"/>
    <w:uiPriority w:val="3"/>
    <w:qFormat/>
    <w:rsid w:val="00A803CA"/>
    <w:rPr>
      <w:rFonts w:ascii="Georgia" w:hAnsi="Georgia"/>
      <w:sz w:val="22"/>
      <w:u w:val="single"/>
    </w:rPr>
  </w:style>
  <w:style w:type="paragraph" w:customStyle="1" w:styleId="Indention">
    <w:name w:val="Indention"/>
    <w:basedOn w:val="Normal"/>
    <w:next w:val="Normal"/>
    <w:uiPriority w:val="2"/>
    <w:qFormat/>
    <w:rsid w:val="00A803CA"/>
    <w:pPr>
      <w:spacing w:after="0"/>
      <w:ind w:left="720"/>
    </w:pPr>
    <w:rPr>
      <w:rFonts w:eastAsia="Times New Roman" w:cs="Times New Roman"/>
      <w:lang w:bidi="en-US"/>
    </w:rPr>
  </w:style>
  <w:style w:type="paragraph" w:styleId="BodyText">
    <w:name w:val="Body Text"/>
    <w:basedOn w:val="Normal"/>
    <w:link w:val="BodyTextChar"/>
    <w:uiPriority w:val="99"/>
    <w:unhideWhenUsed/>
    <w:rsid w:val="00A803CA"/>
  </w:style>
  <w:style w:type="character" w:customStyle="1" w:styleId="BodyTextChar">
    <w:name w:val="Body Text Char"/>
    <w:basedOn w:val="DefaultParagraphFont"/>
    <w:link w:val="BodyText"/>
    <w:uiPriority w:val="99"/>
    <w:rsid w:val="00A803CA"/>
    <w:rPr>
      <w:rFonts w:ascii="Times New Roman" w:hAnsi="Times New Roman"/>
    </w:rPr>
  </w:style>
  <w:style w:type="paragraph" w:customStyle="1" w:styleId="TCEQOP-UA">
    <w:name w:val="TCEQ_OP-UA"/>
    <w:basedOn w:val="Heading1"/>
    <w:next w:val="Normal"/>
    <w:link w:val="TCEQOP-UAChar"/>
    <w:qFormat/>
    <w:rsid w:val="00A718F0"/>
    <w:pPr>
      <w:keepNext w:val="0"/>
      <w:keepLines w:val="0"/>
      <w:contextualSpacing/>
      <w:jc w:val="center"/>
    </w:pPr>
    <w:rPr>
      <w:rFonts w:eastAsia="Times New Roman" w:cs="Times New Roman"/>
      <w:bCs/>
      <w:szCs w:val="24"/>
      <w:lang w:bidi="en-US"/>
    </w:rPr>
  </w:style>
  <w:style w:type="character" w:customStyle="1" w:styleId="TCEQOP-UAChar">
    <w:name w:val="TCEQ_OP-UA Char"/>
    <w:link w:val="TCEQOP-UA"/>
    <w:rsid w:val="00A718F0"/>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unhideWhenUsed/>
    <w:rsid w:val="00A82767"/>
    <w:rPr>
      <w:sz w:val="16"/>
      <w:szCs w:val="16"/>
    </w:rPr>
  </w:style>
  <w:style w:type="paragraph" w:styleId="CommentText">
    <w:name w:val="annotation text"/>
    <w:basedOn w:val="Normal"/>
    <w:link w:val="CommentTextChar"/>
    <w:uiPriority w:val="99"/>
    <w:semiHidden/>
    <w:unhideWhenUsed/>
    <w:rsid w:val="00A82767"/>
    <w:rPr>
      <w:sz w:val="20"/>
      <w:szCs w:val="20"/>
    </w:rPr>
  </w:style>
  <w:style w:type="character" w:customStyle="1" w:styleId="CommentTextChar">
    <w:name w:val="Comment Text Char"/>
    <w:basedOn w:val="DefaultParagraphFont"/>
    <w:link w:val="CommentText"/>
    <w:uiPriority w:val="99"/>
    <w:semiHidden/>
    <w:rsid w:val="00A827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767"/>
    <w:rPr>
      <w:b/>
      <w:bCs/>
    </w:rPr>
  </w:style>
  <w:style w:type="character" w:customStyle="1" w:styleId="CommentSubjectChar">
    <w:name w:val="Comment Subject Char"/>
    <w:basedOn w:val="CommentTextChar"/>
    <w:link w:val="CommentSubject"/>
    <w:uiPriority w:val="99"/>
    <w:semiHidden/>
    <w:rsid w:val="00A82767"/>
    <w:rPr>
      <w:rFonts w:ascii="Times New Roman" w:hAnsi="Times New Roman"/>
      <w:b/>
      <w:bCs/>
      <w:sz w:val="20"/>
      <w:szCs w:val="20"/>
    </w:rPr>
  </w:style>
  <w:style w:type="character" w:customStyle="1" w:styleId="APDQuestion">
    <w:name w:val="APD_Question"/>
    <w:uiPriority w:val="2"/>
    <w:qFormat/>
    <w:rsid w:val="00CC32DF"/>
    <w:rPr>
      <w:rFonts w:ascii="Times New Roman" w:hAnsi="Times New Roman"/>
      <w:b/>
      <w:sz w:val="22"/>
      <w:u w:val="none"/>
    </w:rPr>
  </w:style>
  <w:style w:type="paragraph" w:customStyle="1" w:styleId="StarComplete">
    <w:name w:val="Star_Complete"/>
    <w:basedOn w:val="ListParagraph"/>
    <w:next w:val="Normal"/>
    <w:link w:val="StarCompleteChar"/>
    <w:autoRedefine/>
    <w:uiPriority w:val="2"/>
    <w:qFormat/>
    <w:rsid w:val="00F94A09"/>
    <w:pPr>
      <w:spacing w:after="0"/>
      <w:ind w:left="0" w:firstLine="0"/>
      <w:contextualSpacing w:val="0"/>
    </w:pPr>
    <w:rPr>
      <w:b/>
      <w:bCs/>
      <w:szCs w:val="20"/>
    </w:rPr>
  </w:style>
  <w:style w:type="character" w:customStyle="1" w:styleId="StarCompleteChar">
    <w:name w:val="Star_Complete Char"/>
    <w:link w:val="StarComplete"/>
    <w:uiPriority w:val="2"/>
    <w:rsid w:val="00F94A09"/>
    <w:rPr>
      <w:rFonts w:ascii="Times New Roman" w:eastAsia="Calibri" w:hAnsi="Times New Roman" w:cs="Times New Roman"/>
      <w:b/>
      <w:bCs/>
      <w:szCs w:val="20"/>
      <w:lang w:bidi="en-US"/>
    </w:rPr>
  </w:style>
  <w:style w:type="table" w:customStyle="1" w:styleId="TableGrid1">
    <w:name w:val="Table Grid1"/>
    <w:basedOn w:val="TableNormal"/>
    <w:next w:val="TableGrid"/>
    <w:rsid w:val="00DD4C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5D62"/>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858">
      <w:bodyDiv w:val="1"/>
      <w:marLeft w:val="0"/>
      <w:marRight w:val="0"/>
      <w:marTop w:val="0"/>
      <w:marBottom w:val="0"/>
      <w:divBdr>
        <w:top w:val="none" w:sz="0" w:space="0" w:color="auto"/>
        <w:left w:val="none" w:sz="0" w:space="0" w:color="auto"/>
        <w:bottom w:val="none" w:sz="0" w:space="0" w:color="auto"/>
        <w:right w:val="none" w:sz="0" w:space="0" w:color="auto"/>
      </w:divBdr>
    </w:div>
    <w:div w:id="191112746">
      <w:bodyDiv w:val="1"/>
      <w:marLeft w:val="0"/>
      <w:marRight w:val="0"/>
      <w:marTop w:val="0"/>
      <w:marBottom w:val="0"/>
      <w:divBdr>
        <w:top w:val="none" w:sz="0" w:space="0" w:color="auto"/>
        <w:left w:val="none" w:sz="0" w:space="0" w:color="auto"/>
        <w:bottom w:val="none" w:sz="0" w:space="0" w:color="auto"/>
        <w:right w:val="none" w:sz="0" w:space="0" w:color="auto"/>
      </w:divBdr>
    </w:div>
    <w:div w:id="228082852">
      <w:bodyDiv w:val="1"/>
      <w:marLeft w:val="0"/>
      <w:marRight w:val="0"/>
      <w:marTop w:val="0"/>
      <w:marBottom w:val="0"/>
      <w:divBdr>
        <w:top w:val="none" w:sz="0" w:space="0" w:color="auto"/>
        <w:left w:val="none" w:sz="0" w:space="0" w:color="auto"/>
        <w:bottom w:val="none" w:sz="0" w:space="0" w:color="auto"/>
        <w:right w:val="none" w:sz="0" w:space="0" w:color="auto"/>
      </w:divBdr>
    </w:div>
    <w:div w:id="285351699">
      <w:bodyDiv w:val="1"/>
      <w:marLeft w:val="0"/>
      <w:marRight w:val="0"/>
      <w:marTop w:val="0"/>
      <w:marBottom w:val="0"/>
      <w:divBdr>
        <w:top w:val="none" w:sz="0" w:space="0" w:color="auto"/>
        <w:left w:val="none" w:sz="0" w:space="0" w:color="auto"/>
        <w:bottom w:val="none" w:sz="0" w:space="0" w:color="auto"/>
        <w:right w:val="none" w:sz="0" w:space="0" w:color="auto"/>
      </w:divBdr>
    </w:div>
    <w:div w:id="289285222">
      <w:bodyDiv w:val="1"/>
      <w:marLeft w:val="0"/>
      <w:marRight w:val="0"/>
      <w:marTop w:val="0"/>
      <w:marBottom w:val="0"/>
      <w:divBdr>
        <w:top w:val="none" w:sz="0" w:space="0" w:color="auto"/>
        <w:left w:val="none" w:sz="0" w:space="0" w:color="auto"/>
        <w:bottom w:val="none" w:sz="0" w:space="0" w:color="auto"/>
        <w:right w:val="none" w:sz="0" w:space="0" w:color="auto"/>
      </w:divBdr>
    </w:div>
    <w:div w:id="679936217">
      <w:bodyDiv w:val="1"/>
      <w:marLeft w:val="0"/>
      <w:marRight w:val="0"/>
      <w:marTop w:val="0"/>
      <w:marBottom w:val="0"/>
      <w:divBdr>
        <w:top w:val="none" w:sz="0" w:space="0" w:color="auto"/>
        <w:left w:val="none" w:sz="0" w:space="0" w:color="auto"/>
        <w:bottom w:val="none" w:sz="0" w:space="0" w:color="auto"/>
        <w:right w:val="none" w:sz="0" w:space="0" w:color="auto"/>
      </w:divBdr>
    </w:div>
    <w:div w:id="683821900">
      <w:bodyDiv w:val="1"/>
      <w:marLeft w:val="0"/>
      <w:marRight w:val="0"/>
      <w:marTop w:val="0"/>
      <w:marBottom w:val="0"/>
      <w:divBdr>
        <w:top w:val="none" w:sz="0" w:space="0" w:color="auto"/>
        <w:left w:val="none" w:sz="0" w:space="0" w:color="auto"/>
        <w:bottom w:val="none" w:sz="0" w:space="0" w:color="auto"/>
        <w:right w:val="none" w:sz="0" w:space="0" w:color="auto"/>
      </w:divBdr>
    </w:div>
    <w:div w:id="739600542">
      <w:bodyDiv w:val="1"/>
      <w:marLeft w:val="0"/>
      <w:marRight w:val="0"/>
      <w:marTop w:val="0"/>
      <w:marBottom w:val="0"/>
      <w:divBdr>
        <w:top w:val="none" w:sz="0" w:space="0" w:color="auto"/>
        <w:left w:val="none" w:sz="0" w:space="0" w:color="auto"/>
        <w:bottom w:val="none" w:sz="0" w:space="0" w:color="auto"/>
        <w:right w:val="none" w:sz="0" w:space="0" w:color="auto"/>
      </w:divBdr>
    </w:div>
    <w:div w:id="11197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q.texas.gov/permitting/air/guidance/titlev/tv_fop_guidance.html" TargetMode="External"/><Relationship Id="rId18" Type="http://schemas.openxmlformats.org/officeDocument/2006/relationships/hyperlink" Target="https://www.tceq.texas.gov/permitting/air/guidance/titlev/tv_fop_guidance.html" TargetMode="External"/><Relationship Id="rId26" Type="http://schemas.openxmlformats.org/officeDocument/2006/relationships/hyperlink" Target="http://www.tceq.texas.gov/permitting/air/guidance/titlev/tv_fop_guidance.html" TargetMode="External"/><Relationship Id="rId3" Type="http://schemas.openxmlformats.org/officeDocument/2006/relationships/settings" Target="settings.xml"/><Relationship Id="rId21" Type="http://schemas.openxmlformats.org/officeDocument/2006/relationships/hyperlink" Target="http://www.tceq.texas.gov/permitting/air/guidance/titlev/tv_fop_guidance.html" TargetMode="External"/><Relationship Id="rId7" Type="http://schemas.openxmlformats.org/officeDocument/2006/relationships/header" Target="header1.xml"/><Relationship Id="rId12" Type="http://schemas.openxmlformats.org/officeDocument/2006/relationships/hyperlink" Target="http://www.tceq.texas.gov/permitting/air/guidance/titlev/tv_fop_guidance.html" TargetMode="External"/><Relationship Id="rId17" Type="http://schemas.openxmlformats.org/officeDocument/2006/relationships/hyperlink" Target="http://www.tceq.texas.gov/permitting/air/guidance/titlev/tv_fop_guidance.html" TargetMode="External"/><Relationship Id="rId25" Type="http://schemas.openxmlformats.org/officeDocument/2006/relationships/hyperlink" Target="http://www.tceq.texas.gov/permitting/air/guidance/titlev/tv_fop_guidanc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ceq.texas.gov/permitting/air/guidance/titlev/tv_fop_guidance.html" TargetMode="External"/><Relationship Id="rId20" Type="http://schemas.openxmlformats.org/officeDocument/2006/relationships/hyperlink" Target="http://www.tceq.texas.gov/permitting/air/guidance/titlev/tv_fop_guidance.htm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permitting/air/guidance/titlev/tv_fop_guidance.html" TargetMode="External"/><Relationship Id="rId24" Type="http://schemas.openxmlformats.org/officeDocument/2006/relationships/hyperlink" Target="http://www.tceq.texas.gov/permitting/air/guidance/titlev/tv_fop_guidanc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ceq.texas.gov/permitting/air/guidance/titlev/tv_fop_guidance.html" TargetMode="External"/><Relationship Id="rId23" Type="http://schemas.openxmlformats.org/officeDocument/2006/relationships/hyperlink" Target="http://www.tceq.texas.gov/permitting/air/guidance/titlev/tv_fop_guidance.html" TargetMode="External"/><Relationship Id="rId28" Type="http://schemas.openxmlformats.org/officeDocument/2006/relationships/header" Target="header2.xml"/><Relationship Id="rId10" Type="http://schemas.openxmlformats.org/officeDocument/2006/relationships/hyperlink" Target="http://www.tceq.texas.gov/permitting/central_registry" TargetMode="External"/><Relationship Id="rId19" Type="http://schemas.openxmlformats.org/officeDocument/2006/relationships/hyperlink" Target="https://www.tceq.texas.gov/permitting/air/guidance/titlev/tv_fop_guidance.htm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ceq.texas.gov/permitting/air/guidance/titlev/tv_fop_guidance.html" TargetMode="External"/><Relationship Id="rId22" Type="http://schemas.openxmlformats.org/officeDocument/2006/relationships/hyperlink" Target="http://www.tceq.texas.gov/permitting/air/guidance/titlev/tv_fop_guidance.html"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irdson\AppData\Roaming\Microsoft\Templates\TEMPLATE%20Accessibility_BASIC(201903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Accessibility_BASIC(20190325).dotx</Template>
  <TotalTime>5</TotalTime>
  <Pages>43</Pages>
  <Words>12105</Words>
  <Characters>69005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TCEQ Form 10025 - OP-UA5 Process Heater/Furnace Attributes</vt:lpstr>
    </vt:vector>
  </TitlesOfParts>
  <Manager>TCEQ</Manager>
  <Company>TCEQ</Company>
  <LinksUpToDate>false</LinksUpToDate>
  <CharactersWithSpaces>80949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10025 - OP-UA5 Process Heater/Furnace Attributes</dc:title>
  <dc:subject>TCEQ Form OP-UA5 Process Heater/Furnace Attributes</dc:subject>
  <dc:creator>TCEQ</dc:creator>
  <cp:keywords>process, heaters, furnaces, attributes, emission, facility, type, regulations, code, federal, inspections, method, devices, test, unit, steelmaking, hazardous, filter, opacity, electric, arc, furnace, melt, decarburization, and air</cp:keywords>
  <dc:description/>
  <cp:lastModifiedBy>Scott McKee</cp:lastModifiedBy>
  <cp:revision>3</cp:revision>
  <cp:lastPrinted>2019-01-25T21:47:00Z</cp:lastPrinted>
  <dcterms:created xsi:type="dcterms:W3CDTF">2023-10-16T16:33:00Z</dcterms:created>
  <dcterms:modified xsi:type="dcterms:W3CDTF">2023-10-16T16:53:00Z</dcterms:modified>
</cp:coreProperties>
</file>