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BC" w:rsidRPr="00641C60" w:rsidRDefault="00D22155" w:rsidP="00C75FBC">
      <w:pPr>
        <w:spacing w:after="0" w:line="240" w:lineRule="auto"/>
        <w:jc w:val="center"/>
        <w:outlineLvl w:val="0"/>
        <w:rPr>
          <w:b/>
          <w:sz w:val="24"/>
          <w:szCs w:val="24"/>
        </w:rPr>
      </w:pPr>
      <w:bookmarkStart w:id="0" w:name="_GoBack"/>
      <w:bookmarkEnd w:id="0"/>
      <w:r w:rsidRPr="00641C60">
        <w:rPr>
          <w:noProof/>
          <w:sz w:val="24"/>
          <w:szCs w:val="24"/>
          <w:lang w:bidi="ar-SA"/>
        </w:rPr>
        <w:drawing>
          <wp:anchor distT="0" distB="0" distL="114300" distR="114300" simplePos="0" relativeHeight="251657216" behindDoc="0" locked="0" layoutInCell="1" allowOverlap="1" wp14:anchorId="7AAA6F74" wp14:editId="7782AA66">
            <wp:simplePos x="0" y="0"/>
            <wp:positionH relativeFrom="column">
              <wp:posOffset>76200</wp:posOffset>
            </wp:positionH>
            <wp:positionV relativeFrom="paragraph">
              <wp:posOffset>-57150</wp:posOffset>
            </wp:positionV>
            <wp:extent cx="504825" cy="876300"/>
            <wp:effectExtent l="0" t="0" r="0" b="0"/>
            <wp:wrapNone/>
            <wp:docPr id="3" name="Picture 2" descr="TC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6BC" w:rsidRPr="00641C60">
        <w:rPr>
          <w:b/>
          <w:sz w:val="24"/>
          <w:szCs w:val="24"/>
        </w:rPr>
        <w:t>Texas Commission on Environmental Quality</w:t>
      </w:r>
    </w:p>
    <w:p w:rsidR="006046BC" w:rsidRPr="00641C60" w:rsidRDefault="006046BC" w:rsidP="00C75FBC">
      <w:pPr>
        <w:spacing w:after="0" w:line="240" w:lineRule="auto"/>
        <w:jc w:val="center"/>
        <w:outlineLvl w:val="0"/>
        <w:rPr>
          <w:b/>
          <w:sz w:val="24"/>
          <w:szCs w:val="24"/>
        </w:rPr>
      </w:pPr>
      <w:r w:rsidRPr="00641C60">
        <w:rPr>
          <w:b/>
          <w:sz w:val="24"/>
          <w:szCs w:val="24"/>
        </w:rPr>
        <w:t>Form OP-UA29</w:t>
      </w:r>
    </w:p>
    <w:p w:rsidR="006046BC" w:rsidRPr="00641C60" w:rsidRDefault="006046BC" w:rsidP="00C75FBC">
      <w:pPr>
        <w:spacing w:after="720" w:line="240" w:lineRule="auto"/>
        <w:jc w:val="center"/>
        <w:outlineLvl w:val="0"/>
        <w:rPr>
          <w:b/>
          <w:sz w:val="24"/>
          <w:szCs w:val="24"/>
        </w:rPr>
      </w:pPr>
      <w:r w:rsidRPr="00641C60">
        <w:rPr>
          <w:b/>
          <w:sz w:val="24"/>
          <w:szCs w:val="24"/>
        </w:rPr>
        <w:t>Glass Manufacturing Unit Attributes</w:t>
      </w:r>
    </w:p>
    <w:p w:rsidR="006046BC" w:rsidRPr="00641C60" w:rsidRDefault="00C75FBC" w:rsidP="00C75FBC">
      <w:pPr>
        <w:outlineLvl w:val="0"/>
        <w:rPr>
          <w:rStyle w:val="GeneralSpecific"/>
        </w:rPr>
      </w:pPr>
      <w:r w:rsidRPr="00641C60">
        <w:rPr>
          <w:rStyle w:val="GeneralSpecific"/>
          <w:u w:val="none"/>
        </w:rPr>
        <w:t>General:</w:t>
      </w:r>
    </w:p>
    <w:p w:rsidR="006046BC" w:rsidRPr="00641C60" w:rsidRDefault="006046BC" w:rsidP="006046BC">
      <w:r w:rsidRPr="00641C60">
        <w:t xml:space="preserve">This form is used to provide a description and data pertaining to all </w:t>
      </w:r>
      <w:r w:rsidR="00E455D3" w:rsidRPr="00641C60">
        <w:t>glass</w:t>
      </w:r>
      <w:r w:rsidR="008F004D">
        <w:t xml:space="preserve"> </w:t>
      </w:r>
      <w:r w:rsidR="00E455D3" w:rsidRPr="00641C60">
        <w:t>manufacturing</w:t>
      </w:r>
      <w:r w:rsidRPr="00641C60">
        <w:t xml:space="preserve"> units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w:t>
      </w:r>
      <w:r w:rsidR="00E455D3" w:rsidRPr="00641C60">
        <w:t>glass</w:t>
      </w:r>
      <w:r w:rsidR="008F004D">
        <w:t xml:space="preserve"> </w:t>
      </w:r>
      <w:r w:rsidR="00E455D3" w:rsidRPr="00641C60">
        <w:t>manufacturing</w:t>
      </w:r>
      <w:r w:rsidRPr="00641C60">
        <w:t xml:space="preserve"> unit,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6046BC" w:rsidRPr="00641C60" w:rsidRDefault="006046BC" w:rsidP="007C0AD0">
      <w:pPr>
        <w:pStyle w:val="GeneralTable"/>
        <w:tabs>
          <w:tab w:val="clear" w:pos="2160"/>
          <w:tab w:val="left" w:pos="1440"/>
        </w:tabs>
        <w:ind w:left="1440" w:hanging="1440"/>
        <w:rPr>
          <w:b/>
        </w:rPr>
      </w:pPr>
      <w:r w:rsidRPr="00641C60">
        <w:rPr>
          <w:b/>
        </w:rPr>
        <w:t>Table 1:</w:t>
      </w:r>
      <w:r w:rsidRPr="00641C60">
        <w:tab/>
      </w:r>
      <w:r w:rsidRPr="00641C60">
        <w:rPr>
          <w:b/>
        </w:rPr>
        <w:t>Title 40 Code of Federal Regulations Part 60 (40 CFR Part 60)</w:t>
      </w:r>
    </w:p>
    <w:p w:rsidR="006046BC" w:rsidRPr="00641C60" w:rsidRDefault="006046BC" w:rsidP="007C0AD0">
      <w:pPr>
        <w:pStyle w:val="GeneralSubpart"/>
        <w:tabs>
          <w:tab w:val="left" w:pos="1440"/>
        </w:tabs>
        <w:ind w:left="1440"/>
      </w:pPr>
      <w:r w:rsidRPr="00641C60">
        <w:rPr>
          <w:b/>
        </w:rPr>
        <w:t>Subpart CC:  Standards of Performance</w:t>
      </w:r>
      <w:r w:rsidR="00C75FBC" w:rsidRPr="00641C60">
        <w:rPr>
          <w:b/>
        </w:rPr>
        <w:t xml:space="preserve"> for Glass Manufacturing Plants</w:t>
      </w:r>
    </w:p>
    <w:p w:rsidR="006046BC" w:rsidRPr="00641C60" w:rsidRDefault="006046BC" w:rsidP="006046BC">
      <w:r w:rsidRPr="00641C60">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w:t>
      </w:r>
      <w:r w:rsidR="00E455D3" w:rsidRPr="00641C60">
        <w:t xml:space="preserve">. </w:t>
      </w:r>
      <w:r w:rsidRPr="00641C60">
        <w:rPr>
          <w:b/>
        </w:rPr>
        <w:t>Leave the permit number blank for the initial form submittal.</w:t>
      </w:r>
      <w:r w:rsidRPr="00641C60">
        <w:t xml:space="preserve"> If this form is included as part of the permit revision process, enter the permit number assigned by the TCEQ, the area name (from Form OP-1), the date of the revision submittal, and the regulated entity number.</w:t>
      </w:r>
    </w:p>
    <w:p w:rsidR="006046BC" w:rsidRPr="00641C60" w:rsidRDefault="006046BC" w:rsidP="006046BC">
      <w:pPr>
        <w:rPr>
          <w:b/>
        </w:rPr>
      </w:pPr>
      <w:r w:rsidRPr="00641C60">
        <w:t xml:space="preserve">Unit attribute questions that do not require a response from all applicants are preceded by qualification criteria in the instructions. If the unit does not meet the qualification criteria, a response to the question is not required. </w:t>
      </w:r>
      <w:r w:rsidRPr="00641C60">
        <w:rPr>
          <w:b/>
        </w:rPr>
        <w:t xml:space="preserve">Anytime a </w:t>
      </w:r>
      <w:proofErr w:type="gramStart"/>
      <w:r w:rsidRPr="00641C60">
        <w:rPr>
          <w:b/>
        </w:rPr>
        <w:t>response</w:t>
      </w:r>
      <w:proofErr w:type="gramEnd"/>
      <w:r w:rsidRPr="00641C60">
        <w:rPr>
          <w:b/>
        </w:rPr>
        <w:t xml:space="preserve"> is not required based on the qualification criteria, leave</w:t>
      </w:r>
      <w:r w:rsidR="007C0AD0" w:rsidRPr="00641C60">
        <w:rPr>
          <w:b/>
        </w:rPr>
        <w:t xml:space="preserve"> the space on the form blank.</w:t>
      </w:r>
    </w:p>
    <w:p w:rsidR="006046BC" w:rsidRPr="00641C60" w:rsidRDefault="006046BC" w:rsidP="006046BC">
      <w:pPr>
        <w:rPr>
          <w:b/>
        </w:rPr>
      </w:pPr>
      <w:r w:rsidRPr="00641C60">
        <w:rPr>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6046BC" w:rsidRPr="00641C60" w:rsidRDefault="006046BC" w:rsidP="006046BC">
      <w:r w:rsidRPr="00641C60">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w:t>
      </w:r>
      <w:r w:rsidR="00C75FBC" w:rsidRPr="00641C60">
        <w:t xml:space="preserve">rmit application is submitted. </w:t>
      </w:r>
    </w:p>
    <w:p w:rsidR="007C0AD0" w:rsidRPr="00641C60" w:rsidRDefault="006046BC" w:rsidP="006046BC">
      <w:r w:rsidRPr="00641C60">
        <w:t xml:space="preserve">The Texas Commission on Environmental Quality (TCEQ) </w:t>
      </w:r>
      <w:r w:rsidRPr="00641C60">
        <w:rPr>
          <w:b/>
        </w:rPr>
        <w:t>requires</w:t>
      </w:r>
      <w:r w:rsidRPr="00641C60">
        <w:t xml:space="preserve">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w:t>
      </w:r>
      <w:r w:rsidR="007C0AD0" w:rsidRPr="00641C60">
        <w:br w:type="page"/>
      </w:r>
    </w:p>
    <w:p w:rsidR="00C75FBC" w:rsidRPr="00641C60" w:rsidRDefault="006046BC" w:rsidP="006046BC">
      <w:proofErr w:type="gramStart"/>
      <w:r w:rsidRPr="00641C60">
        <w:lastRenderedPageBreak/>
        <w:t>data</w:t>
      </w:r>
      <w:proofErr w:type="gramEnd"/>
      <w:r w:rsidRPr="00641C60">
        <w:t xml:space="preserve">.” The Central Registry provides the regulated community with a central access point within the agency to check core data and make changes when necessary. When core data about a facility is moved to the Central Registry, two new identification numbers are assigned: </w:t>
      </w:r>
      <w:r w:rsidRPr="00641C60">
        <w:rPr>
          <w:i/>
        </w:rPr>
        <w:t>the Customer Reference</w:t>
      </w:r>
      <w:r w:rsidRPr="00641C60">
        <w:t xml:space="preserve"> (CN) number and the </w:t>
      </w:r>
      <w:r w:rsidRPr="00641C60">
        <w:rPr>
          <w:i/>
        </w:rPr>
        <w:t>Regulated Entity</w:t>
      </w:r>
      <w:r w:rsidRPr="00641C60">
        <w:t xml:space="preserve">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w:t>
      </w:r>
      <w:proofErr w:type="gramStart"/>
      <w:r w:rsidRPr="00641C60">
        <w:t xml:space="preserve">at </w:t>
      </w:r>
      <w:proofErr w:type="gramEnd"/>
      <w:r w:rsidR="00260411">
        <w:fldChar w:fldCharType="begin"/>
      </w:r>
      <w:r w:rsidR="00260411">
        <w:instrText xml:space="preserve"> HYPERLINK "http://www.tceq.texas.gov/permitting/central_registry" \o "Link to TCEQ Central Registry" </w:instrText>
      </w:r>
      <w:r w:rsidR="00260411">
        <w:fldChar w:fldCharType="separate"/>
      </w:r>
      <w:hyperlink r:id="rId10" w:tooltip="Link to TCEQ Central Registry" w:history="1">
        <w:r w:rsidR="00742E23" w:rsidRPr="00742E23">
          <w:rPr>
            <w:rStyle w:val="Hyperlink"/>
            <w:rFonts w:eastAsia="Times New Roman"/>
            <w:u w:val="none"/>
          </w:rPr>
          <w:t>www.tceq.texas.gov/permitting/central_registry</w:t>
        </w:r>
      </w:hyperlink>
      <w:r w:rsidR="00260411">
        <w:rPr>
          <w:rStyle w:val="Hyperlink"/>
          <w:rFonts w:eastAsia="Times New Roman"/>
          <w:u w:val="none"/>
        </w:rPr>
        <w:fldChar w:fldCharType="end"/>
      </w:r>
      <w:r w:rsidR="00EF5B5D">
        <w:t>.</w:t>
      </w:r>
    </w:p>
    <w:p w:rsidR="00C75FBC" w:rsidRPr="00641C60" w:rsidRDefault="00C75FBC" w:rsidP="006046BC">
      <w:pPr>
        <w:pBdr>
          <w:bottom w:val="double" w:sz="6" w:space="1" w:color="auto"/>
        </w:pBdr>
      </w:pPr>
    </w:p>
    <w:p w:rsidR="006046BC" w:rsidRPr="00641C60" w:rsidRDefault="00C75FBC" w:rsidP="00C75FBC">
      <w:pPr>
        <w:outlineLvl w:val="0"/>
        <w:rPr>
          <w:rStyle w:val="GeneralSpecific"/>
          <w:u w:val="none"/>
        </w:rPr>
      </w:pPr>
      <w:r w:rsidRPr="00641C60">
        <w:rPr>
          <w:rStyle w:val="GeneralSpecific"/>
          <w:u w:val="none"/>
        </w:rPr>
        <w:t>Specific:</w:t>
      </w:r>
    </w:p>
    <w:p w:rsidR="006046BC" w:rsidRPr="00641C60" w:rsidRDefault="006046BC" w:rsidP="00C75FBC">
      <w:pPr>
        <w:pStyle w:val="SpecificTable"/>
      </w:pPr>
      <w:r w:rsidRPr="00641C60">
        <w:t>Table 1:</w:t>
      </w:r>
      <w:r w:rsidRPr="00641C60">
        <w:tab/>
        <w:t>Title 40 Code of Federal Regulations Part 60 (40 CFR Part 60)</w:t>
      </w:r>
    </w:p>
    <w:p w:rsidR="006046BC" w:rsidRPr="00641C60" w:rsidRDefault="006046BC" w:rsidP="00C75FBC">
      <w:pPr>
        <w:pStyle w:val="SpecificSubpart"/>
      </w:pPr>
      <w:r w:rsidRPr="00641C60">
        <w:t>Subpart CC:  Standards of Performance</w:t>
      </w:r>
      <w:r w:rsidR="00C75FBC" w:rsidRPr="00641C60">
        <w:t xml:space="preserve"> for Glass Manufacturing Plants</w:t>
      </w:r>
    </w:p>
    <w:p w:rsidR="006046BC" w:rsidRPr="00641C60" w:rsidRDefault="006046BC" w:rsidP="006046BC">
      <w:r w:rsidRPr="00641C60">
        <w:rPr>
          <w:rStyle w:val="Question"/>
          <w:u w:val="none"/>
        </w:rPr>
        <w:t>Unit ID No.:</w:t>
      </w:r>
      <w:r w:rsidRPr="00641C60">
        <w:t xml:space="preserve">  Enter the identification number (ID No.) for the glass melting device (maximum 10 characters) as listed on Form OP SUM (Individual Unit Summary).</w:t>
      </w:r>
    </w:p>
    <w:p w:rsidR="00C75FBC" w:rsidRPr="00641C60" w:rsidRDefault="006046BC" w:rsidP="00C75FBC">
      <w:r w:rsidRPr="00641C60">
        <w:rPr>
          <w:rStyle w:val="Question"/>
          <w:u w:val="none"/>
        </w:rPr>
        <w:t>SOP Index No.:</w:t>
      </w:r>
      <w:r w:rsidRPr="00641C60">
        <w:t xml:space="preserve">  Site operating permit (SOP) applicants should indicate the SOP index number for the unit or group of units (maximum 15 characters consisting of numeric, alphanumeric characters, and/or dashes prefixed by a code for the applicable </w:t>
      </w:r>
      <w:r w:rsidR="007C0AD0" w:rsidRPr="00641C60">
        <w:t xml:space="preserve">regulation [i.e., 60KB-XXXX]). </w:t>
      </w:r>
      <w:r w:rsidRPr="00641C60">
        <w:t xml:space="preserve">For additional information relating to SOP index numbers, please refer to the TCEQ website at </w:t>
      </w:r>
      <w:hyperlink r:id="rId11" w:tooltip="TCEQ Site Operation Permit Application Guidance" w:history="1">
        <w:r w:rsidR="00C75FBC" w:rsidRPr="00641C60">
          <w:rPr>
            <w:rStyle w:val="Hyperlink"/>
            <w:u w:val="none"/>
          </w:rPr>
          <w:t>www.tceq.texas.gov/assets/public/permitting/air/Guidance/Title_V/sop_initial.pdf</w:t>
        </w:r>
      </w:hyperlink>
      <w:r w:rsidR="00C75FBC" w:rsidRPr="00641C60">
        <w:t xml:space="preserve">. </w:t>
      </w:r>
    </w:p>
    <w:p w:rsidR="006046BC" w:rsidRPr="00641C60" w:rsidRDefault="006046BC" w:rsidP="006046BC">
      <w:r w:rsidRPr="00641C60">
        <w:rPr>
          <w:rStyle w:val="Question"/>
          <w:u w:val="none"/>
        </w:rPr>
        <w:t>Facility Type:</w:t>
      </w:r>
      <w:r w:rsidRPr="00641C60">
        <w:t xml:space="preserve">  Select one of the following options for the facility type. Enter the code on the form.</w:t>
      </w:r>
    </w:p>
    <w:p w:rsidR="006046BC" w:rsidRPr="00641C60" w:rsidRDefault="00C75FBC" w:rsidP="00C75FBC">
      <w:pPr>
        <w:pStyle w:val="SpecificCode"/>
      </w:pPr>
      <w:r w:rsidRPr="00641C60">
        <w:t>Code</w:t>
      </w:r>
      <w:r w:rsidRPr="00641C60">
        <w:tab/>
      </w:r>
      <w:r w:rsidR="006046BC" w:rsidRPr="00641C60">
        <w:t>Description</w:t>
      </w:r>
    </w:p>
    <w:p w:rsidR="006046BC" w:rsidRPr="00641C60" w:rsidRDefault="006046BC" w:rsidP="00C75FBC">
      <w:pPr>
        <w:pStyle w:val="SpecificCode"/>
      </w:pPr>
      <w:r w:rsidRPr="00641C60">
        <w:t>G4550-</w:t>
      </w:r>
      <w:r w:rsidRPr="00641C60">
        <w:tab/>
        <w:t>Glass melting furnace as defined in 40 CFR Part 60, Subpart CC with a design capacity of less than 4550 kg/day</w:t>
      </w:r>
    </w:p>
    <w:p w:rsidR="006046BC" w:rsidRPr="00641C60" w:rsidRDefault="006046BC" w:rsidP="00C75FBC">
      <w:pPr>
        <w:pStyle w:val="SpecificCode"/>
      </w:pPr>
      <w:r w:rsidRPr="00641C60">
        <w:t>G4550+</w:t>
      </w:r>
      <w:r w:rsidRPr="00641C60">
        <w:tab/>
        <w:t>Glass melting furnace as defined in 40 CFR Part 60, Subpart CC with a design capacity of greater than or equal to 4550 kg/day</w:t>
      </w:r>
    </w:p>
    <w:p w:rsidR="006046BC" w:rsidRPr="00641C60" w:rsidRDefault="00C75FBC" w:rsidP="00C75FBC">
      <w:pPr>
        <w:pStyle w:val="SpecificCode"/>
      </w:pPr>
      <w:r w:rsidRPr="00641C60">
        <w:t>HAND</w:t>
      </w:r>
      <w:r w:rsidRPr="00641C60">
        <w:tab/>
      </w:r>
      <w:proofErr w:type="spellStart"/>
      <w:r w:rsidR="006046BC" w:rsidRPr="00641C60">
        <w:t>Hand</w:t>
      </w:r>
      <w:proofErr w:type="spellEnd"/>
      <w:r w:rsidR="006046BC" w:rsidRPr="00641C60">
        <w:t xml:space="preserve"> glass melting furnace as defined in 40 CFR Part 60, Subpart CC</w:t>
      </w:r>
    </w:p>
    <w:p w:rsidR="006046BC" w:rsidRPr="00641C60" w:rsidRDefault="00C75FBC" w:rsidP="00C75FBC">
      <w:pPr>
        <w:pStyle w:val="SpecificCode"/>
        <w:spacing w:after="200"/>
      </w:pPr>
      <w:r w:rsidRPr="00641C60">
        <w:t>ELECT</w:t>
      </w:r>
      <w:r w:rsidRPr="00641C60">
        <w:tab/>
        <w:t xml:space="preserve">All electric </w:t>
      </w:r>
      <w:proofErr w:type="spellStart"/>
      <w:r w:rsidRPr="00641C60">
        <w:t>melter</w:t>
      </w:r>
      <w:proofErr w:type="spellEnd"/>
    </w:p>
    <w:p w:rsidR="006046BC" w:rsidRPr="00641C60" w:rsidRDefault="00C75FBC" w:rsidP="00C75FBC">
      <w:pPr>
        <w:pStyle w:val="SpecificCode"/>
      </w:pPr>
      <w:r w:rsidRPr="00641C60">
        <w:t>Code</w:t>
      </w:r>
      <w:r w:rsidRPr="00641C60">
        <w:tab/>
      </w:r>
      <w:r w:rsidR="006046BC" w:rsidRPr="00641C60">
        <w:t>Description</w:t>
      </w:r>
    </w:p>
    <w:p w:rsidR="006046BC" w:rsidRPr="00641C60" w:rsidRDefault="006046BC" w:rsidP="00C75FBC">
      <w:pPr>
        <w:pStyle w:val="SpecificCode"/>
        <w:spacing w:after="200"/>
      </w:pPr>
      <w:r w:rsidRPr="00641C60">
        <w:t>EXPER</w:t>
      </w:r>
      <w:r w:rsidRPr="00641C60">
        <w:tab/>
        <w:t>Experimental furnace</w:t>
      </w:r>
    </w:p>
    <w:p w:rsidR="006046BC" w:rsidRPr="00641C60" w:rsidRDefault="006046BC" w:rsidP="007C0AD0">
      <w:pPr>
        <w:pStyle w:val="BoldContinue"/>
        <w:numPr>
          <w:ilvl w:val="0"/>
          <w:numId w:val="18"/>
        </w:numPr>
        <w:spacing w:after="240"/>
        <w:ind w:left="547" w:hanging="547"/>
        <w:contextualSpacing w:val="0"/>
        <w:rPr>
          <w:rFonts w:ascii="Times New Roman" w:hAnsi="Times New Roman"/>
        </w:rPr>
      </w:pPr>
      <w:r w:rsidRPr="00641C60">
        <w:rPr>
          <w:rFonts w:ascii="Times New Roman" w:hAnsi="Times New Roman"/>
        </w:rPr>
        <w:t>Continue only if “Facilit</w:t>
      </w:r>
      <w:r w:rsidR="00C75FBC" w:rsidRPr="00641C60">
        <w:rPr>
          <w:rFonts w:ascii="Times New Roman" w:hAnsi="Times New Roman"/>
        </w:rPr>
        <w:t>y Type” is “G4550+” or “EXPER.”</w:t>
      </w:r>
    </w:p>
    <w:p w:rsidR="006046BC" w:rsidRPr="00641C60" w:rsidRDefault="006046BC" w:rsidP="006046BC">
      <w:r w:rsidRPr="00641C60">
        <w:rPr>
          <w:rStyle w:val="Question"/>
          <w:u w:val="none"/>
        </w:rPr>
        <w:t>Construction/Modification Date:</w:t>
      </w:r>
      <w:r w:rsidRPr="00641C60">
        <w:t xml:space="preserve">  Select one of the following options that </w:t>
      </w:r>
      <w:proofErr w:type="gramStart"/>
      <w:r w:rsidRPr="00641C60">
        <w:t>describes</w:t>
      </w:r>
      <w:proofErr w:type="gramEnd"/>
      <w:r w:rsidRPr="00641C60">
        <w:t xml:space="preserve"> the date of commencement of the most recent construction, modification, or reconstruction. Enter the code on the form.</w:t>
      </w:r>
    </w:p>
    <w:p w:rsidR="006046BC" w:rsidRPr="00641C60" w:rsidRDefault="006046BC" w:rsidP="006046BC">
      <w:pPr>
        <w:rPr>
          <w:i/>
        </w:rPr>
      </w:pPr>
      <w:r w:rsidRPr="00641C60">
        <w:rPr>
          <w:i/>
        </w:rPr>
        <w:t>Note:</w:t>
      </w:r>
      <w:r w:rsidR="00D479AC" w:rsidRPr="00641C60">
        <w:rPr>
          <w:i/>
        </w:rPr>
        <w:t xml:space="preserve">  </w:t>
      </w:r>
      <w:r w:rsidRPr="00641C60">
        <w:rPr>
          <w:i/>
        </w:rPr>
        <w:t xml:space="preserve">Construction, modification, or reconstruction shall include those activities other than </w:t>
      </w:r>
      <w:proofErr w:type="spellStart"/>
      <w:r w:rsidRPr="00641C60">
        <w:rPr>
          <w:i/>
        </w:rPr>
        <w:t>rebricking</w:t>
      </w:r>
      <w:proofErr w:type="spellEnd"/>
      <w:r w:rsidRPr="00641C60">
        <w:rPr>
          <w:i/>
        </w:rPr>
        <w:t xml:space="preserve"> or conver</w:t>
      </w:r>
      <w:r w:rsidR="00C75FBC" w:rsidRPr="00641C60">
        <w:rPr>
          <w:i/>
        </w:rPr>
        <w:t>ting to the use of liquid fuel.</w:t>
      </w:r>
    </w:p>
    <w:p w:rsidR="006046BC" w:rsidRPr="00641C60" w:rsidRDefault="00C75FBC" w:rsidP="00C75FBC">
      <w:pPr>
        <w:pStyle w:val="SpecificCode"/>
      </w:pPr>
      <w:r w:rsidRPr="00641C60">
        <w:t>Code</w:t>
      </w:r>
      <w:r w:rsidRPr="00641C60">
        <w:tab/>
      </w:r>
      <w:r w:rsidR="006046BC" w:rsidRPr="00641C60">
        <w:t>Description</w:t>
      </w:r>
    </w:p>
    <w:p w:rsidR="006046BC" w:rsidRPr="00641C60" w:rsidRDefault="00C75FBC" w:rsidP="00C75FBC">
      <w:pPr>
        <w:pStyle w:val="SpecificCode"/>
      </w:pPr>
      <w:r w:rsidRPr="00641C60">
        <w:t>79-</w:t>
      </w:r>
      <w:r w:rsidRPr="00641C60">
        <w:tab/>
      </w:r>
      <w:r w:rsidR="006046BC" w:rsidRPr="00641C60">
        <w:t>On or before June 15, 1979</w:t>
      </w:r>
    </w:p>
    <w:p w:rsidR="006046BC" w:rsidRPr="00641C60" w:rsidRDefault="00C75FBC" w:rsidP="00C75FBC">
      <w:pPr>
        <w:pStyle w:val="SpecificCode"/>
        <w:spacing w:after="200"/>
      </w:pPr>
      <w:r w:rsidRPr="00641C60">
        <w:t>79+</w:t>
      </w:r>
      <w:r w:rsidRPr="00641C60">
        <w:tab/>
      </w:r>
      <w:r w:rsidR="006046BC" w:rsidRPr="00641C60">
        <w:t>After June 15, 1979</w:t>
      </w:r>
    </w:p>
    <w:p w:rsidR="006046BC" w:rsidRPr="00641C60" w:rsidRDefault="006046BC" w:rsidP="00D479AC">
      <w:pPr>
        <w:pStyle w:val="BoldContinue"/>
        <w:numPr>
          <w:ilvl w:val="0"/>
          <w:numId w:val="18"/>
        </w:numPr>
        <w:tabs>
          <w:tab w:val="left" w:pos="547"/>
        </w:tabs>
        <w:spacing w:after="240"/>
        <w:ind w:left="547" w:hanging="547"/>
        <w:contextualSpacing w:val="0"/>
        <w:rPr>
          <w:rFonts w:ascii="Times New Roman" w:hAnsi="Times New Roman"/>
        </w:rPr>
      </w:pPr>
      <w:r w:rsidRPr="00641C60">
        <w:rPr>
          <w:rFonts w:ascii="Times New Roman" w:hAnsi="Times New Roman"/>
        </w:rPr>
        <w:t>Continue only if “Construction/M</w:t>
      </w:r>
      <w:r w:rsidR="00C75FBC" w:rsidRPr="00641C60">
        <w:rPr>
          <w:rFonts w:ascii="Times New Roman" w:hAnsi="Times New Roman"/>
        </w:rPr>
        <w:t>odification Date” is “79+</w:t>
      </w:r>
      <w:r w:rsidR="00E455D3" w:rsidRPr="00641C60">
        <w:rPr>
          <w:rFonts w:ascii="Times New Roman" w:hAnsi="Times New Roman"/>
        </w:rPr>
        <w:t>.”</w:t>
      </w:r>
    </w:p>
    <w:p w:rsidR="006046BC" w:rsidRPr="00641C60" w:rsidRDefault="006046BC" w:rsidP="006046BC">
      <w:r w:rsidRPr="00641C60">
        <w:rPr>
          <w:rStyle w:val="Question"/>
          <w:u w:val="none"/>
        </w:rPr>
        <w:lastRenderedPageBreak/>
        <w:t>Modified Process</w:t>
      </w:r>
      <w:r w:rsidRPr="00641C60">
        <w:rPr>
          <w:b/>
        </w:rPr>
        <w:t>:</w:t>
      </w:r>
      <w:r w:rsidRPr="00641C60">
        <w:t xml:space="preserve">  Enter “YES” if the affected facility is a modified process </w:t>
      </w:r>
      <w:r w:rsidR="00E455D3" w:rsidRPr="00641C60">
        <w:t>glass-melting</w:t>
      </w:r>
      <w:r w:rsidRPr="00641C60">
        <w:t xml:space="preserve"> furnace</w:t>
      </w:r>
      <w:r w:rsidR="00E455D3" w:rsidRPr="00641C60">
        <w:t xml:space="preserve">. </w:t>
      </w:r>
      <w:r w:rsidR="00641C60">
        <w:t>Otherwise, enter </w:t>
      </w:r>
      <w:r w:rsidRPr="00641C60">
        <w:t>“NO.”</w:t>
      </w:r>
    </w:p>
    <w:p w:rsidR="006046BC" w:rsidRPr="00641C60" w:rsidRDefault="006046BC" w:rsidP="00641C60">
      <w:pPr>
        <w:pStyle w:val="BoldComplete"/>
        <w:numPr>
          <w:ilvl w:val="0"/>
          <w:numId w:val="19"/>
        </w:numPr>
        <w:tabs>
          <w:tab w:val="left" w:pos="547"/>
        </w:tabs>
        <w:spacing w:after="240"/>
        <w:ind w:left="547" w:hanging="547"/>
        <w:contextualSpacing w:val="0"/>
        <w:rPr>
          <w:rFonts w:ascii="Times New Roman" w:hAnsi="Times New Roman"/>
        </w:rPr>
      </w:pPr>
      <w:r w:rsidRPr="00641C60">
        <w:rPr>
          <w:rFonts w:ascii="Times New Roman" w:hAnsi="Times New Roman"/>
        </w:rPr>
        <w:t xml:space="preserve">Complete “Simultaneous Firing” only </w:t>
      </w:r>
      <w:r w:rsidR="00C75FBC" w:rsidRPr="00641C60">
        <w:rPr>
          <w:rFonts w:ascii="Times New Roman" w:hAnsi="Times New Roman"/>
        </w:rPr>
        <w:t>if “Facility Type” is “G4550+</w:t>
      </w:r>
      <w:r w:rsidR="00E455D3" w:rsidRPr="00641C60">
        <w:rPr>
          <w:rFonts w:ascii="Times New Roman" w:hAnsi="Times New Roman"/>
        </w:rPr>
        <w:t>.”</w:t>
      </w:r>
    </w:p>
    <w:p w:rsidR="006046BC" w:rsidRPr="00641C60" w:rsidRDefault="006046BC" w:rsidP="006046BC">
      <w:r w:rsidRPr="00641C60">
        <w:rPr>
          <w:rStyle w:val="Question"/>
          <w:u w:val="none"/>
        </w:rPr>
        <w:t>Simultaneous Firing</w:t>
      </w:r>
      <w:r w:rsidRPr="00DB17DF">
        <w:rPr>
          <w:b/>
        </w:rPr>
        <w:t>:</w:t>
      </w:r>
      <w:r w:rsidRPr="00641C60">
        <w:t xml:space="preserve">  Enter “YES” if the furnace simultaneously fires gaseous and liquid fuels</w:t>
      </w:r>
      <w:r w:rsidR="00E455D3" w:rsidRPr="00641C60">
        <w:t xml:space="preserve">. </w:t>
      </w:r>
      <w:r w:rsidRPr="00641C60">
        <w:t>Otherwise, enter “NO.”</w:t>
      </w:r>
    </w:p>
    <w:p w:rsidR="006046BC" w:rsidRPr="00641C60" w:rsidRDefault="006046BC" w:rsidP="00DB17DF">
      <w:pPr>
        <w:pStyle w:val="BoldContinue"/>
        <w:numPr>
          <w:ilvl w:val="0"/>
          <w:numId w:val="18"/>
        </w:numPr>
        <w:tabs>
          <w:tab w:val="left" w:pos="547"/>
        </w:tabs>
        <w:spacing w:after="240"/>
        <w:ind w:left="547" w:hanging="547"/>
        <w:contextualSpacing w:val="0"/>
        <w:rPr>
          <w:rFonts w:ascii="Times New Roman" w:hAnsi="Times New Roman"/>
        </w:rPr>
      </w:pPr>
      <w:r w:rsidRPr="00641C60">
        <w:rPr>
          <w:rFonts w:ascii="Times New Roman" w:hAnsi="Times New Roman"/>
        </w:rPr>
        <w:t xml:space="preserve">Continue only </w:t>
      </w:r>
      <w:r w:rsidR="00C75FBC" w:rsidRPr="00641C60">
        <w:rPr>
          <w:rFonts w:ascii="Times New Roman" w:hAnsi="Times New Roman"/>
        </w:rPr>
        <w:t>if “Modified Process” is “YES.”</w:t>
      </w:r>
    </w:p>
    <w:p w:rsidR="006046BC" w:rsidRPr="00641C60" w:rsidRDefault="006046BC" w:rsidP="006046BC">
      <w:r w:rsidRPr="00DB17DF">
        <w:rPr>
          <w:rStyle w:val="Question"/>
          <w:u w:val="none"/>
        </w:rPr>
        <w:t xml:space="preserve">Complying </w:t>
      </w:r>
      <w:r w:rsidR="00DB17DF">
        <w:rPr>
          <w:rStyle w:val="Question"/>
          <w:u w:val="none"/>
        </w:rPr>
        <w:t>w</w:t>
      </w:r>
      <w:r w:rsidRPr="00DB17DF">
        <w:rPr>
          <w:rStyle w:val="Question"/>
          <w:u w:val="none"/>
        </w:rPr>
        <w:t>ith § 60.292</w:t>
      </w:r>
      <w:r w:rsidRPr="00DB17DF">
        <w:rPr>
          <w:b/>
        </w:rPr>
        <w:t>:</w:t>
      </w:r>
      <w:r w:rsidRPr="00641C60">
        <w:t xml:space="preserve">  Enter “YES” if choosing to comply with the provisions of 40 CFR § 60.292</w:t>
      </w:r>
      <w:r w:rsidR="00E455D3" w:rsidRPr="00641C60">
        <w:t xml:space="preserve">. </w:t>
      </w:r>
      <w:r w:rsidR="00DB17DF">
        <w:t>Otherwise, enter </w:t>
      </w:r>
      <w:r w:rsidRPr="00641C60">
        <w:t>“NO.”</w:t>
      </w:r>
    </w:p>
    <w:p w:rsidR="006046BC" w:rsidRPr="00641C60" w:rsidRDefault="006046BC" w:rsidP="00DB17DF">
      <w:pPr>
        <w:pStyle w:val="BoldContinue"/>
        <w:numPr>
          <w:ilvl w:val="0"/>
          <w:numId w:val="18"/>
        </w:numPr>
        <w:tabs>
          <w:tab w:val="left" w:pos="547"/>
        </w:tabs>
        <w:spacing w:after="240"/>
        <w:ind w:left="547" w:hanging="547"/>
        <w:contextualSpacing w:val="0"/>
        <w:rPr>
          <w:rFonts w:ascii="Times New Roman" w:hAnsi="Times New Roman"/>
        </w:rPr>
      </w:pPr>
      <w:r w:rsidRPr="00641C60">
        <w:rPr>
          <w:rFonts w:ascii="Times New Roman" w:hAnsi="Times New Roman"/>
        </w:rPr>
        <w:t>Continue only if “Co</w:t>
      </w:r>
      <w:r w:rsidR="00C75FBC" w:rsidRPr="00641C60">
        <w:rPr>
          <w:rFonts w:ascii="Times New Roman" w:hAnsi="Times New Roman"/>
        </w:rPr>
        <w:t>mplying with § 60.292” is “NO.”</w:t>
      </w:r>
    </w:p>
    <w:p w:rsidR="006046BC" w:rsidRPr="00641C60" w:rsidRDefault="006046BC" w:rsidP="006046BC">
      <w:r w:rsidRPr="00DB17DF">
        <w:rPr>
          <w:rStyle w:val="Question"/>
          <w:u w:val="none"/>
        </w:rPr>
        <w:t>Glass Recipe/Product</w:t>
      </w:r>
      <w:r w:rsidRPr="00641C60">
        <w:rPr>
          <w:rStyle w:val="Question"/>
          <w:u w:val="none"/>
        </w:rPr>
        <w:t>:</w:t>
      </w:r>
      <w:r w:rsidRPr="00641C60">
        <w:t xml:space="preserve">  Select one of the following options for the glass recipe or the product produced by the </w:t>
      </w:r>
      <w:r w:rsidR="00E455D3" w:rsidRPr="00641C60">
        <w:t>glass</w:t>
      </w:r>
      <w:r w:rsidR="008F004D">
        <w:t xml:space="preserve"> </w:t>
      </w:r>
      <w:r w:rsidR="00E455D3" w:rsidRPr="00641C60">
        <w:t>melting</w:t>
      </w:r>
      <w:r w:rsidRPr="00641C60">
        <w:t xml:space="preserve"> furnace</w:t>
      </w:r>
      <w:r w:rsidR="00E455D3" w:rsidRPr="00641C60">
        <w:t xml:space="preserve">. </w:t>
      </w:r>
      <w:r w:rsidRPr="00641C60">
        <w:t>Enter the code on the form.</w:t>
      </w:r>
    </w:p>
    <w:p w:rsidR="006046BC" w:rsidRPr="00DB17DF" w:rsidRDefault="00C75FBC" w:rsidP="00C75FBC">
      <w:pPr>
        <w:pStyle w:val="SpecificCode"/>
      </w:pPr>
      <w:r w:rsidRPr="00DB17DF">
        <w:t>Code</w:t>
      </w:r>
      <w:r w:rsidRPr="00DB17DF">
        <w:tab/>
      </w:r>
      <w:r w:rsidR="006046BC" w:rsidRPr="00DB17DF">
        <w:t>Description</w:t>
      </w:r>
    </w:p>
    <w:p w:rsidR="006046BC" w:rsidRPr="00641C60" w:rsidRDefault="00C75FBC" w:rsidP="00C75FBC">
      <w:pPr>
        <w:pStyle w:val="SpecificCode"/>
      </w:pPr>
      <w:r w:rsidRPr="00641C60">
        <w:t>SODA</w:t>
      </w:r>
      <w:r w:rsidRPr="00641C60">
        <w:tab/>
      </w:r>
      <w:r w:rsidR="006046BC" w:rsidRPr="00641C60">
        <w:t>Soda-lime recipe for container, flat, pressed and blown glass</w:t>
      </w:r>
    </w:p>
    <w:p w:rsidR="006046BC" w:rsidRPr="00641C60" w:rsidRDefault="00C75FBC" w:rsidP="00C75FBC">
      <w:pPr>
        <w:pStyle w:val="SpecificCode"/>
      </w:pPr>
      <w:r w:rsidRPr="00641C60">
        <w:t>BORO</w:t>
      </w:r>
      <w:r w:rsidRPr="00641C60">
        <w:tab/>
      </w:r>
      <w:r w:rsidR="006046BC" w:rsidRPr="00641C60">
        <w:t>Borosilicate recipe for pressed or blown glass</w:t>
      </w:r>
    </w:p>
    <w:p w:rsidR="006046BC" w:rsidRPr="00641C60" w:rsidRDefault="00C75FBC" w:rsidP="00C75FBC">
      <w:pPr>
        <w:pStyle w:val="SpecificCode"/>
        <w:spacing w:after="200"/>
      </w:pPr>
      <w:r w:rsidRPr="00641C60">
        <w:t>FIBER</w:t>
      </w:r>
      <w:r w:rsidRPr="00641C60">
        <w:tab/>
      </w:r>
      <w:r w:rsidR="006046BC" w:rsidRPr="00641C60">
        <w:t>Wool fiberglass and/or textile fiberglass</w:t>
      </w:r>
    </w:p>
    <w:p w:rsidR="006046BC" w:rsidRPr="00641C60" w:rsidRDefault="006046BC" w:rsidP="00DB17DF">
      <w:pPr>
        <w:pStyle w:val="BoldComplete"/>
        <w:numPr>
          <w:ilvl w:val="0"/>
          <w:numId w:val="19"/>
        </w:numPr>
        <w:tabs>
          <w:tab w:val="left" w:pos="547"/>
        </w:tabs>
        <w:spacing w:after="240"/>
        <w:ind w:left="547" w:hanging="547"/>
        <w:contextualSpacing w:val="0"/>
        <w:rPr>
          <w:rFonts w:ascii="Times New Roman" w:hAnsi="Times New Roman"/>
        </w:rPr>
      </w:pPr>
      <w:r w:rsidRPr="00641C60">
        <w:rPr>
          <w:rFonts w:ascii="Times New Roman" w:hAnsi="Times New Roman"/>
        </w:rPr>
        <w:t>Complete “ACMS” and “ACMS ID No.” only if “G</w:t>
      </w:r>
      <w:r w:rsidR="00C75FBC" w:rsidRPr="00641C60">
        <w:rPr>
          <w:rFonts w:ascii="Times New Roman" w:hAnsi="Times New Roman"/>
        </w:rPr>
        <w:t>lass Recipe</w:t>
      </w:r>
      <w:r w:rsidR="00EB1BE3">
        <w:rPr>
          <w:rFonts w:ascii="Times New Roman" w:hAnsi="Times New Roman"/>
        </w:rPr>
        <w:t>/</w:t>
      </w:r>
      <w:r w:rsidR="00C75FBC" w:rsidRPr="00641C60">
        <w:rPr>
          <w:rFonts w:ascii="Times New Roman" w:hAnsi="Times New Roman"/>
        </w:rPr>
        <w:t>Product” is “SODA.”</w:t>
      </w:r>
    </w:p>
    <w:p w:rsidR="006046BC" w:rsidRPr="00641C60" w:rsidRDefault="006046BC" w:rsidP="006046BC">
      <w:r w:rsidRPr="00DB17DF">
        <w:rPr>
          <w:rStyle w:val="Question"/>
          <w:u w:val="none"/>
        </w:rPr>
        <w:t>ACMS:</w:t>
      </w:r>
      <w:r w:rsidRPr="00641C60">
        <w:t xml:space="preserve">  Enter “YES” if an alternate continuous monitoring system (ACMS) has been approved by the EPA Administrator</w:t>
      </w:r>
      <w:r w:rsidR="00E455D3" w:rsidRPr="00641C60">
        <w:t xml:space="preserve">. </w:t>
      </w:r>
      <w:r w:rsidRPr="00641C60">
        <w:t>Otherwise, enter “NO</w:t>
      </w:r>
      <w:r w:rsidR="00E455D3" w:rsidRPr="00641C60">
        <w:t>.”</w:t>
      </w:r>
    </w:p>
    <w:p w:rsidR="006046BC" w:rsidRPr="00641C60" w:rsidRDefault="006046BC" w:rsidP="006046BC">
      <w:r w:rsidRPr="00641C60">
        <w:rPr>
          <w:rStyle w:val="Question"/>
          <w:u w:val="none"/>
        </w:rPr>
        <w:t>ACMS ID No.:</w:t>
      </w:r>
      <w:r w:rsidRPr="00641C60">
        <w:t xml:space="preserve">  If an ACMS has been approved, then enter the corresponding ACM</w:t>
      </w:r>
      <w:r w:rsidR="00641C60">
        <w:t>S unique identifier (maximum 10 </w:t>
      </w:r>
      <w:r w:rsidRPr="00641C60">
        <w:t>characters) for each unit or process</w:t>
      </w:r>
      <w:r w:rsidR="00E455D3" w:rsidRPr="00641C60">
        <w:t xml:space="preserve">. </w:t>
      </w:r>
      <w:r w:rsidRPr="00641C60">
        <w:t>If the unique identifier is unavailable, then enter the date of the ACMS approval letter</w:t>
      </w:r>
      <w:r w:rsidR="00E455D3" w:rsidRPr="00641C60">
        <w:t xml:space="preserve">. </w:t>
      </w:r>
      <w:r w:rsidRPr="00641C60">
        <w:t xml:space="preserve">The unique identifier and/or the date of the approval letter </w:t>
      </w:r>
      <w:proofErr w:type="gramStart"/>
      <w:r w:rsidRPr="00641C60">
        <w:t>is</w:t>
      </w:r>
      <w:proofErr w:type="gramEnd"/>
      <w:r w:rsidRPr="00641C60">
        <w:t xml:space="preserve"> contained in the compliance file under the appropriate regulated entity number</w:t>
      </w:r>
      <w:r w:rsidR="00E455D3" w:rsidRPr="00641C60">
        <w:t xml:space="preserve">. </w:t>
      </w:r>
      <w:r w:rsidRPr="00641C60">
        <w:t xml:space="preserve">Otherwise, leave this column blank. </w:t>
      </w:r>
    </w:p>
    <w:p w:rsidR="006046BC" w:rsidRPr="00641C60" w:rsidRDefault="006046BC" w:rsidP="00641C60">
      <w:pPr>
        <w:pStyle w:val="BoldContinue"/>
        <w:numPr>
          <w:ilvl w:val="0"/>
          <w:numId w:val="18"/>
        </w:numPr>
        <w:tabs>
          <w:tab w:val="left" w:pos="547"/>
        </w:tabs>
        <w:spacing w:after="240"/>
        <w:ind w:left="547" w:hanging="547"/>
        <w:contextualSpacing w:val="0"/>
        <w:rPr>
          <w:rFonts w:ascii="Times New Roman" w:hAnsi="Times New Roman"/>
        </w:rPr>
      </w:pPr>
      <w:r w:rsidRPr="00641C60">
        <w:rPr>
          <w:rFonts w:ascii="Times New Roman" w:hAnsi="Times New Roman"/>
        </w:rPr>
        <w:t>Continue only if “ACMS” is “NO” or if “Glass Recipe</w:t>
      </w:r>
      <w:r w:rsidR="00853F1E">
        <w:rPr>
          <w:rFonts w:ascii="Times New Roman" w:hAnsi="Times New Roman"/>
        </w:rPr>
        <w:t>/</w:t>
      </w:r>
      <w:r w:rsidR="00C75FBC" w:rsidRPr="00641C60">
        <w:rPr>
          <w:rFonts w:ascii="Times New Roman" w:hAnsi="Times New Roman"/>
        </w:rPr>
        <w:t>Product” is “BORO” or “FIBER.”</w:t>
      </w:r>
    </w:p>
    <w:p w:rsidR="00A03680" w:rsidRDefault="006046BC">
      <w:r w:rsidRPr="00641C60">
        <w:rPr>
          <w:rStyle w:val="Question"/>
          <w:u w:val="none"/>
        </w:rPr>
        <w:t>Opacity Confidence Level</w:t>
      </w:r>
      <w:r w:rsidRPr="00641C60">
        <w:t xml:space="preserve">:  Enter “YES” if the opacity confidence level is to be </w:t>
      </w:r>
      <w:proofErr w:type="spellStart"/>
      <w:r w:rsidRPr="00641C60">
        <w:t>redetermined</w:t>
      </w:r>
      <w:proofErr w:type="spellEnd"/>
      <w:r w:rsidR="00E455D3" w:rsidRPr="00641C60">
        <w:t xml:space="preserve">. </w:t>
      </w:r>
      <w:r w:rsidRPr="00641C60">
        <w:t>Otherwise, enter “NO.”</w:t>
      </w:r>
    </w:p>
    <w:p w:rsidR="00DB17DF" w:rsidRPr="00641C60" w:rsidRDefault="00DB17DF"/>
    <w:p w:rsidR="00C75FBC" w:rsidRPr="00641C60" w:rsidRDefault="00C75FBC">
      <w:pPr>
        <w:sectPr w:rsidR="00C75FBC" w:rsidRPr="00641C60" w:rsidSect="00D61A4E">
          <w:headerReference w:type="default" r:id="rId12"/>
          <w:footerReference w:type="default" r:id="rId13"/>
          <w:footerReference w:type="first" r:id="rId14"/>
          <w:pgSz w:w="12240" w:h="15840"/>
          <w:pgMar w:top="720" w:right="720" w:bottom="720" w:left="720" w:header="720" w:footer="432" w:gutter="0"/>
          <w:cols w:space="720"/>
          <w:titlePg/>
          <w:docGrid w:linePitch="360"/>
        </w:sectPr>
      </w:pPr>
    </w:p>
    <w:p w:rsidR="00261651" w:rsidRDefault="00261651" w:rsidP="00F977F3">
      <w:pPr>
        <w:spacing w:after="0" w:line="240" w:lineRule="auto"/>
        <w:jc w:val="center"/>
        <w:rPr>
          <w:b/>
          <w:sz w:val="24"/>
          <w:szCs w:val="24"/>
        </w:rPr>
      </w:pPr>
      <w:r>
        <w:rPr>
          <w:b/>
          <w:sz w:val="24"/>
          <w:szCs w:val="24"/>
        </w:rPr>
        <w:t>Texas Commission on Environmental Quality</w:t>
      </w:r>
    </w:p>
    <w:p w:rsidR="00F977F3" w:rsidRPr="00641C60" w:rsidRDefault="00F977F3" w:rsidP="00F977F3">
      <w:pPr>
        <w:spacing w:after="0" w:line="240" w:lineRule="auto"/>
        <w:jc w:val="center"/>
        <w:rPr>
          <w:b/>
          <w:sz w:val="24"/>
          <w:szCs w:val="24"/>
        </w:rPr>
      </w:pPr>
      <w:r w:rsidRPr="00641C60">
        <w:rPr>
          <w:b/>
          <w:sz w:val="24"/>
          <w:szCs w:val="24"/>
        </w:rPr>
        <w:t>Glass Manufacturing Unit Attributes</w:t>
      </w:r>
    </w:p>
    <w:p w:rsidR="00F977F3" w:rsidRPr="00641C60" w:rsidRDefault="00F977F3" w:rsidP="00F977F3">
      <w:pPr>
        <w:spacing w:after="0" w:line="240" w:lineRule="auto"/>
        <w:jc w:val="center"/>
        <w:rPr>
          <w:b/>
          <w:sz w:val="24"/>
          <w:szCs w:val="24"/>
        </w:rPr>
      </w:pPr>
      <w:r w:rsidRPr="00641C60">
        <w:rPr>
          <w:b/>
          <w:sz w:val="24"/>
          <w:szCs w:val="24"/>
        </w:rPr>
        <w:t>Form OP-UA29 (Page 1)</w:t>
      </w:r>
    </w:p>
    <w:p w:rsidR="00F977F3" w:rsidRPr="00641C60" w:rsidRDefault="00F977F3" w:rsidP="00641C60">
      <w:pPr>
        <w:spacing w:after="120" w:line="240" w:lineRule="auto"/>
        <w:jc w:val="center"/>
        <w:rPr>
          <w:b/>
          <w:sz w:val="24"/>
          <w:szCs w:val="24"/>
        </w:rPr>
      </w:pPr>
      <w:r w:rsidRPr="00641C60">
        <w:rPr>
          <w:b/>
          <w:sz w:val="24"/>
          <w:szCs w:val="24"/>
        </w:rPr>
        <w:t>Federal Operating Permit Program</w:t>
      </w:r>
    </w:p>
    <w:p w:rsidR="00F977F3" w:rsidRPr="00641C60" w:rsidRDefault="00F977F3" w:rsidP="00F977F3">
      <w:pPr>
        <w:spacing w:after="0" w:line="240" w:lineRule="auto"/>
        <w:jc w:val="center"/>
        <w:outlineLvl w:val="0"/>
        <w:rPr>
          <w:b/>
          <w:sz w:val="24"/>
          <w:szCs w:val="24"/>
        </w:rPr>
      </w:pPr>
      <w:r w:rsidRPr="00641C60">
        <w:rPr>
          <w:b/>
          <w:sz w:val="24"/>
          <w:szCs w:val="24"/>
        </w:rPr>
        <w:t>Table 1:  Title 40 Code of Federal Regulations Part 60 (40 CFR Part 60)</w:t>
      </w:r>
    </w:p>
    <w:p w:rsidR="00C75FBC" w:rsidRPr="00641C60" w:rsidRDefault="00F977F3" w:rsidP="00641C60">
      <w:pPr>
        <w:spacing w:after="240" w:line="240" w:lineRule="auto"/>
        <w:jc w:val="center"/>
        <w:rPr>
          <w:b/>
          <w:sz w:val="24"/>
          <w:szCs w:val="24"/>
        </w:rPr>
      </w:pPr>
      <w:r w:rsidRPr="00641C60">
        <w:rPr>
          <w:b/>
          <w:sz w:val="24"/>
          <w:szCs w:val="24"/>
        </w:rPr>
        <w:t>Subpart CC:  Standards of Performance for Glass Manufacturing Units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F977F3" w:rsidRPr="00641C60" w:rsidTr="008677C5">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F977F3" w:rsidRPr="00641C60" w:rsidRDefault="00F977F3" w:rsidP="00F977F3">
            <w:pPr>
              <w:widowControl w:val="0"/>
              <w:spacing w:after="0" w:line="240" w:lineRule="auto"/>
              <w:rPr>
                <w:rStyle w:val="Strong"/>
                <w:b/>
              </w:rPr>
            </w:pPr>
            <w:r w:rsidRPr="00641C60">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F977F3" w:rsidRPr="00641C60" w:rsidRDefault="00F977F3" w:rsidP="00F977F3">
            <w:pPr>
              <w:widowControl w:val="0"/>
              <w:spacing w:after="0" w:line="240" w:lineRule="auto"/>
              <w:rPr>
                <w:rStyle w:val="Strong"/>
                <w:b/>
              </w:rPr>
            </w:pPr>
            <w:r w:rsidRPr="00641C60">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F977F3" w:rsidRPr="00641C60" w:rsidRDefault="00F977F3" w:rsidP="00F977F3">
            <w:pPr>
              <w:widowControl w:val="0"/>
              <w:spacing w:after="0" w:line="240" w:lineRule="auto"/>
              <w:rPr>
                <w:rStyle w:val="Strong"/>
                <w:b/>
              </w:rPr>
            </w:pPr>
            <w:r w:rsidRPr="00641C60">
              <w:rPr>
                <w:rStyle w:val="Strong"/>
                <w:b/>
              </w:rPr>
              <w:t>Regulated Entity No.:</w:t>
            </w:r>
          </w:p>
        </w:tc>
      </w:tr>
      <w:tr w:rsidR="00F977F3" w:rsidRPr="00641C60" w:rsidTr="008677C5">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F977F3" w:rsidRPr="00641C60" w:rsidRDefault="00F977F3" w:rsidP="00F977F3">
            <w:pPr>
              <w:widowControl w:val="0"/>
              <w:spacing w:after="0" w:line="240" w:lineRule="auto"/>
              <w:rPr>
                <w:rStyle w:val="Strong"/>
                <w:b/>
              </w:rPr>
            </w:pPr>
            <w:r w:rsidRPr="00641C60">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F977F3" w:rsidRPr="00641C60" w:rsidRDefault="00F977F3" w:rsidP="00F977F3">
            <w:pPr>
              <w:widowControl w:val="0"/>
              <w:spacing w:after="0" w:line="240" w:lineRule="auto"/>
              <w:rPr>
                <w:rStyle w:val="Strong"/>
                <w:b/>
              </w:rPr>
            </w:pPr>
            <w:r w:rsidRPr="00641C60">
              <w:rPr>
                <w:rStyle w:val="Strong"/>
                <w:b/>
              </w:rPr>
              <w:t>Customer Reference No.:</w:t>
            </w:r>
          </w:p>
        </w:tc>
      </w:tr>
    </w:tbl>
    <w:p w:rsidR="00F977F3" w:rsidRPr="00641C60" w:rsidRDefault="00F977F3" w:rsidP="00F977F3">
      <w:pPr>
        <w:spacing w:after="0" w:line="240" w:lineRule="auto"/>
      </w:pPr>
    </w:p>
    <w:tbl>
      <w:tblPr>
        <w:tblW w:w="14400" w:type="dxa"/>
        <w:jc w:val="center"/>
        <w:tblLayout w:type="fixed"/>
        <w:tblCellMar>
          <w:top w:w="58" w:type="dxa"/>
          <w:left w:w="58" w:type="dxa"/>
          <w:bottom w:w="58" w:type="dxa"/>
          <w:right w:w="58" w:type="dxa"/>
        </w:tblCellMar>
        <w:tblLook w:val="00A0" w:firstRow="1" w:lastRow="0" w:firstColumn="1" w:lastColumn="0" w:noHBand="0" w:noVBand="0"/>
        <w:tblDescription w:val="Table Header Row"/>
      </w:tblPr>
      <w:tblGrid>
        <w:gridCol w:w="1478"/>
        <w:gridCol w:w="1791"/>
        <w:gridCol w:w="1166"/>
        <w:gridCol w:w="1596"/>
        <w:gridCol w:w="1080"/>
        <w:gridCol w:w="1529"/>
        <w:gridCol w:w="1259"/>
        <w:gridCol w:w="991"/>
        <w:gridCol w:w="720"/>
        <w:gridCol w:w="1529"/>
        <w:gridCol w:w="1261"/>
      </w:tblGrid>
      <w:tr w:rsidR="00F977F3" w:rsidRPr="00641C60" w:rsidTr="008677C5">
        <w:trPr>
          <w:cantSplit/>
          <w:trHeight w:val="346"/>
          <w:tblHeader/>
          <w:jc w:val="center"/>
        </w:trPr>
        <w:tc>
          <w:tcPr>
            <w:tcW w:w="513" w:type="pct"/>
            <w:tcBorders>
              <w:top w:val="double" w:sz="6" w:space="0" w:color="000000"/>
              <w:left w:val="doub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bookmarkStart w:id="1" w:name="TableHeaderRow"/>
            <w:r w:rsidRPr="00641C60">
              <w:rPr>
                <w:b/>
                <w:sz w:val="20"/>
                <w:szCs w:val="20"/>
              </w:rPr>
              <w:t>Unit ID No.</w:t>
            </w:r>
          </w:p>
        </w:tc>
        <w:tc>
          <w:tcPr>
            <w:tcW w:w="622"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SOP Index No.</w:t>
            </w:r>
          </w:p>
        </w:tc>
        <w:tc>
          <w:tcPr>
            <w:tcW w:w="405"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Facility Type</w:t>
            </w:r>
          </w:p>
        </w:tc>
        <w:tc>
          <w:tcPr>
            <w:tcW w:w="554"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Construction/ Modification Date</w:t>
            </w:r>
          </w:p>
        </w:tc>
        <w:tc>
          <w:tcPr>
            <w:tcW w:w="375"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Modified Process</w:t>
            </w:r>
          </w:p>
        </w:tc>
        <w:tc>
          <w:tcPr>
            <w:tcW w:w="531"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Simultaneous Firing</w:t>
            </w:r>
          </w:p>
        </w:tc>
        <w:tc>
          <w:tcPr>
            <w:tcW w:w="437"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Complying with § 60.292</w:t>
            </w:r>
          </w:p>
        </w:tc>
        <w:tc>
          <w:tcPr>
            <w:tcW w:w="344"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Glass Recipe/ Product</w:t>
            </w:r>
          </w:p>
        </w:tc>
        <w:tc>
          <w:tcPr>
            <w:tcW w:w="250"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ACMS</w:t>
            </w:r>
          </w:p>
        </w:tc>
        <w:tc>
          <w:tcPr>
            <w:tcW w:w="531" w:type="pct"/>
            <w:tcBorders>
              <w:top w:val="double" w:sz="6" w:space="0" w:color="000000"/>
              <w:left w:val="single" w:sz="6" w:space="0" w:color="000000"/>
              <w:bottom w:val="single" w:sz="6" w:space="0" w:color="000000"/>
              <w:right w:val="sing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ACMS ID No.</w:t>
            </w:r>
          </w:p>
        </w:tc>
        <w:tc>
          <w:tcPr>
            <w:tcW w:w="438" w:type="pct"/>
            <w:tcBorders>
              <w:top w:val="double" w:sz="6" w:space="0" w:color="000000"/>
              <w:left w:val="single" w:sz="6" w:space="0" w:color="000000"/>
              <w:bottom w:val="single" w:sz="6" w:space="0" w:color="000000"/>
              <w:right w:val="double" w:sz="6" w:space="0" w:color="000000"/>
            </w:tcBorders>
            <w:shd w:val="pct10" w:color="000000" w:fill="auto"/>
            <w:tcMar>
              <w:top w:w="85" w:type="dxa"/>
              <w:left w:w="42" w:type="dxa"/>
              <w:bottom w:w="58" w:type="dxa"/>
              <w:right w:w="42" w:type="dxa"/>
            </w:tcMar>
            <w:vAlign w:val="center"/>
          </w:tcPr>
          <w:p w:rsidR="00F977F3" w:rsidRPr="00641C60" w:rsidRDefault="00F977F3" w:rsidP="00F977F3">
            <w:pPr>
              <w:spacing w:after="0" w:line="240" w:lineRule="auto"/>
              <w:jc w:val="center"/>
              <w:rPr>
                <w:b/>
                <w:sz w:val="20"/>
                <w:szCs w:val="20"/>
              </w:rPr>
            </w:pPr>
            <w:r w:rsidRPr="00641C60">
              <w:rPr>
                <w:b/>
                <w:sz w:val="20"/>
                <w:szCs w:val="20"/>
              </w:rPr>
              <w:t>Opacity Confidence Level</w:t>
            </w:r>
          </w:p>
        </w:tc>
      </w:tr>
      <w:bookmarkEnd w:id="1"/>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sing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sing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r w:rsidR="00F977F3" w:rsidRPr="00641C60" w:rsidTr="008677C5">
        <w:trPr>
          <w:cantSplit/>
          <w:trHeight w:val="346"/>
          <w:tblHeader/>
          <w:jc w:val="center"/>
        </w:trPr>
        <w:tc>
          <w:tcPr>
            <w:tcW w:w="513" w:type="pct"/>
            <w:tcBorders>
              <w:top w:val="single" w:sz="6" w:space="0" w:color="000000"/>
              <w:left w:val="doub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622"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05"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54"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75"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7"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344"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250"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531" w:type="pct"/>
            <w:tcBorders>
              <w:top w:val="single" w:sz="6" w:space="0" w:color="000000"/>
              <w:left w:val="single" w:sz="6" w:space="0" w:color="000000"/>
              <w:bottom w:val="double" w:sz="6" w:space="0" w:color="000000"/>
              <w:right w:val="single" w:sz="6" w:space="0" w:color="000000"/>
            </w:tcBorders>
            <w:tcMar>
              <w:top w:w="58" w:type="dxa"/>
              <w:left w:w="42" w:type="dxa"/>
              <w:bottom w:w="58" w:type="dxa"/>
              <w:right w:w="42" w:type="dxa"/>
            </w:tcMar>
          </w:tcPr>
          <w:p w:rsidR="00F977F3" w:rsidRPr="00641C60" w:rsidRDefault="00F977F3" w:rsidP="00F977F3">
            <w:pPr>
              <w:spacing w:after="0" w:line="240" w:lineRule="auto"/>
            </w:pPr>
          </w:p>
        </w:tc>
        <w:tc>
          <w:tcPr>
            <w:tcW w:w="438" w:type="pct"/>
            <w:tcBorders>
              <w:top w:val="single" w:sz="6" w:space="0" w:color="000000"/>
              <w:left w:val="single" w:sz="6" w:space="0" w:color="000000"/>
              <w:bottom w:val="double" w:sz="6" w:space="0" w:color="000000"/>
              <w:right w:val="double" w:sz="6" w:space="0" w:color="000000"/>
            </w:tcBorders>
            <w:tcMar>
              <w:top w:w="58" w:type="dxa"/>
              <w:left w:w="42" w:type="dxa"/>
              <w:bottom w:w="58" w:type="dxa"/>
              <w:right w:w="42" w:type="dxa"/>
            </w:tcMar>
          </w:tcPr>
          <w:p w:rsidR="00F977F3" w:rsidRPr="00641C60" w:rsidRDefault="00F977F3" w:rsidP="00F977F3">
            <w:pPr>
              <w:spacing w:after="0" w:line="240" w:lineRule="auto"/>
            </w:pPr>
          </w:p>
        </w:tc>
      </w:tr>
    </w:tbl>
    <w:p w:rsidR="00F977F3" w:rsidRPr="00641C60" w:rsidRDefault="00F977F3" w:rsidP="00F977F3">
      <w:pPr>
        <w:spacing w:after="0" w:line="240" w:lineRule="auto"/>
      </w:pPr>
    </w:p>
    <w:sectPr w:rsidR="00F977F3" w:rsidRPr="00641C60" w:rsidSect="00C75FBC">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F6" w:rsidRDefault="003728F6" w:rsidP="00676C07">
      <w:pPr>
        <w:spacing w:after="0" w:line="240" w:lineRule="auto"/>
      </w:pPr>
      <w:r>
        <w:separator/>
      </w:r>
    </w:p>
  </w:endnote>
  <w:endnote w:type="continuationSeparator" w:id="0">
    <w:p w:rsidR="003728F6" w:rsidRDefault="003728F6" w:rsidP="0067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07" w:rsidRPr="00E0620A" w:rsidRDefault="00676C07" w:rsidP="00676C07">
    <w:pPr>
      <w:pStyle w:val="Footer"/>
      <w:tabs>
        <w:tab w:val="clear" w:pos="4680"/>
        <w:tab w:val="clear" w:pos="9360"/>
        <w:tab w:val="right" w:pos="10440"/>
      </w:tabs>
      <w:rPr>
        <w:b/>
        <w:sz w:val="16"/>
        <w:szCs w:val="16"/>
      </w:rPr>
    </w:pPr>
    <w:r w:rsidRPr="00E0620A">
      <w:rPr>
        <w:b/>
        <w:sz w:val="16"/>
        <w:szCs w:val="16"/>
      </w:rPr>
      <w:t>TCEQ - 10049 (</w:t>
    </w:r>
    <w:r w:rsidR="00D479AC" w:rsidRPr="00E0620A">
      <w:rPr>
        <w:b/>
        <w:sz w:val="16"/>
        <w:szCs w:val="16"/>
      </w:rPr>
      <w:t xml:space="preserve">APDG 5172v8, </w:t>
    </w:r>
    <w:r w:rsidRPr="00E0620A">
      <w:rPr>
        <w:b/>
        <w:sz w:val="16"/>
        <w:szCs w:val="16"/>
      </w:rPr>
      <w:t xml:space="preserve">Revised </w:t>
    </w:r>
    <w:r w:rsidR="00EA5F97">
      <w:rPr>
        <w:b/>
        <w:sz w:val="16"/>
        <w:szCs w:val="16"/>
      </w:rPr>
      <w:t>12</w:t>
    </w:r>
    <w:r w:rsidR="006F6907">
      <w:rPr>
        <w:b/>
        <w:sz w:val="16"/>
        <w:szCs w:val="16"/>
      </w:rPr>
      <w:t>/15</w:t>
    </w:r>
    <w:r w:rsidRPr="00E0620A">
      <w:rPr>
        <w:b/>
        <w:sz w:val="16"/>
        <w:szCs w:val="16"/>
      </w:rPr>
      <w:t>) OP-UA29</w:t>
    </w:r>
  </w:p>
  <w:p w:rsidR="00676C07" w:rsidRPr="00E0620A" w:rsidRDefault="00676C07" w:rsidP="00676C07">
    <w:pPr>
      <w:pStyle w:val="Footer"/>
      <w:tabs>
        <w:tab w:val="clear" w:pos="4680"/>
        <w:tab w:val="clear" w:pos="9360"/>
        <w:tab w:val="right" w:pos="10440"/>
      </w:tabs>
      <w:rPr>
        <w:b/>
        <w:sz w:val="16"/>
        <w:szCs w:val="16"/>
      </w:rPr>
    </w:pPr>
    <w:r w:rsidRPr="00E0620A">
      <w:rPr>
        <w:b/>
        <w:sz w:val="16"/>
        <w:szCs w:val="16"/>
      </w:rPr>
      <w:t>This form is for use by facilities subject to air quality permit</w:t>
    </w:r>
  </w:p>
  <w:p w:rsidR="00676C07" w:rsidRPr="00E0620A" w:rsidRDefault="00676C07" w:rsidP="00676C07">
    <w:pPr>
      <w:pStyle w:val="Footer"/>
      <w:tabs>
        <w:tab w:val="clear" w:pos="4680"/>
        <w:tab w:val="clear" w:pos="9360"/>
        <w:tab w:val="right" w:pos="10440"/>
      </w:tabs>
      <w:rPr>
        <w:b/>
        <w:sz w:val="16"/>
        <w:szCs w:val="16"/>
      </w:rPr>
    </w:pPr>
    <w:proofErr w:type="gramStart"/>
    <w:r w:rsidRPr="00E0620A">
      <w:rPr>
        <w:b/>
        <w:sz w:val="16"/>
        <w:szCs w:val="16"/>
      </w:rPr>
      <w:t>requirements</w:t>
    </w:r>
    <w:proofErr w:type="gramEnd"/>
    <w:r w:rsidRPr="00E0620A">
      <w:rPr>
        <w:b/>
        <w:sz w:val="16"/>
        <w:szCs w:val="16"/>
      </w:rPr>
      <w:t xml:space="preserve"> and may be revised periodically</w:t>
    </w:r>
    <w:r w:rsidR="00E455D3" w:rsidRPr="00E0620A">
      <w:rPr>
        <w:b/>
        <w:sz w:val="16"/>
        <w:szCs w:val="16"/>
      </w:rPr>
      <w:t xml:space="preserve">. </w:t>
    </w:r>
    <w:r w:rsidRPr="00E0620A">
      <w:rPr>
        <w:b/>
        <w:sz w:val="16"/>
        <w:szCs w:val="16"/>
      </w:rPr>
      <w:t>(</w:t>
    </w:r>
    <w:r w:rsidR="00D479AC" w:rsidRPr="00E0620A">
      <w:rPr>
        <w:b/>
        <w:sz w:val="16"/>
        <w:szCs w:val="16"/>
      </w:rPr>
      <w:t>Title V Release 11/04</w:t>
    </w:r>
    <w:r w:rsidRPr="00E0620A">
      <w:rPr>
        <w:b/>
        <w:sz w:val="16"/>
        <w:szCs w:val="16"/>
      </w:rPr>
      <w:t>)</w:t>
    </w:r>
    <w:r w:rsidRPr="00E0620A">
      <w:rPr>
        <w:b/>
        <w:sz w:val="16"/>
        <w:szCs w:val="16"/>
      </w:rPr>
      <w:tab/>
      <w:t xml:space="preserve">Page </w:t>
    </w:r>
    <w:r w:rsidR="006C780A" w:rsidRPr="00E0620A">
      <w:rPr>
        <w:b/>
        <w:sz w:val="16"/>
        <w:szCs w:val="16"/>
      </w:rPr>
      <w:fldChar w:fldCharType="begin"/>
    </w:r>
    <w:r w:rsidRPr="00E0620A">
      <w:rPr>
        <w:b/>
        <w:sz w:val="16"/>
        <w:szCs w:val="16"/>
      </w:rPr>
      <w:instrText xml:space="preserve"> PAGE </w:instrText>
    </w:r>
    <w:r w:rsidR="006C780A" w:rsidRPr="00E0620A">
      <w:rPr>
        <w:b/>
        <w:sz w:val="16"/>
        <w:szCs w:val="16"/>
      </w:rPr>
      <w:fldChar w:fldCharType="separate"/>
    </w:r>
    <w:r w:rsidR="00260411">
      <w:rPr>
        <w:b/>
        <w:noProof/>
        <w:sz w:val="16"/>
        <w:szCs w:val="16"/>
      </w:rPr>
      <w:t>3</w:t>
    </w:r>
    <w:r w:rsidR="006C780A" w:rsidRPr="00E0620A">
      <w:rPr>
        <w:b/>
        <w:sz w:val="16"/>
        <w:szCs w:val="16"/>
      </w:rPr>
      <w:fldChar w:fldCharType="end"/>
    </w:r>
    <w:r w:rsidRPr="00E0620A">
      <w:rPr>
        <w:b/>
        <w:sz w:val="16"/>
        <w:szCs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60" w:rsidRPr="00E0620A" w:rsidRDefault="00641C60" w:rsidP="00641C60">
    <w:pPr>
      <w:pStyle w:val="Footer"/>
      <w:tabs>
        <w:tab w:val="clear" w:pos="4680"/>
        <w:tab w:val="clear" w:pos="9360"/>
        <w:tab w:val="right" w:pos="10440"/>
      </w:tabs>
      <w:rPr>
        <w:b/>
        <w:sz w:val="16"/>
        <w:szCs w:val="16"/>
      </w:rPr>
    </w:pPr>
    <w:r w:rsidRPr="00E0620A">
      <w:rPr>
        <w:b/>
        <w:sz w:val="16"/>
        <w:szCs w:val="16"/>
      </w:rPr>
      <w:t xml:space="preserve">TCEQ - 10049 (APDG 5172v8, Revised </w:t>
    </w:r>
    <w:r w:rsidR="006A196C">
      <w:rPr>
        <w:b/>
        <w:sz w:val="16"/>
        <w:szCs w:val="16"/>
      </w:rPr>
      <w:t>1</w:t>
    </w:r>
    <w:r w:rsidR="00EA5F97">
      <w:rPr>
        <w:b/>
        <w:sz w:val="16"/>
        <w:szCs w:val="16"/>
      </w:rPr>
      <w:t>2</w:t>
    </w:r>
    <w:r w:rsidR="003769F6">
      <w:rPr>
        <w:b/>
        <w:sz w:val="16"/>
        <w:szCs w:val="16"/>
      </w:rPr>
      <w:t>/15</w:t>
    </w:r>
    <w:r w:rsidRPr="00E0620A">
      <w:rPr>
        <w:b/>
        <w:sz w:val="16"/>
        <w:szCs w:val="16"/>
      </w:rPr>
      <w:t>) OP-UA29</w:t>
    </w:r>
  </w:p>
  <w:p w:rsidR="00641C60" w:rsidRPr="00E0620A" w:rsidRDefault="00641C60" w:rsidP="00641C60">
    <w:pPr>
      <w:pStyle w:val="Footer"/>
      <w:tabs>
        <w:tab w:val="clear" w:pos="4680"/>
        <w:tab w:val="clear" w:pos="9360"/>
        <w:tab w:val="right" w:pos="10440"/>
      </w:tabs>
      <w:rPr>
        <w:b/>
        <w:sz w:val="16"/>
        <w:szCs w:val="16"/>
      </w:rPr>
    </w:pPr>
    <w:r w:rsidRPr="00E0620A">
      <w:rPr>
        <w:b/>
        <w:sz w:val="16"/>
        <w:szCs w:val="16"/>
      </w:rPr>
      <w:t>This form is for use by facilities subject to air quality permit</w:t>
    </w:r>
  </w:p>
  <w:p w:rsidR="00676C07" w:rsidRPr="00641C60" w:rsidRDefault="00641C60" w:rsidP="00641C60">
    <w:pPr>
      <w:pStyle w:val="Footer"/>
      <w:tabs>
        <w:tab w:val="clear" w:pos="4680"/>
        <w:tab w:val="clear" w:pos="9360"/>
        <w:tab w:val="right" w:pos="10440"/>
      </w:tabs>
      <w:rPr>
        <w:b/>
        <w:sz w:val="16"/>
        <w:szCs w:val="16"/>
      </w:rPr>
    </w:pPr>
    <w:proofErr w:type="gramStart"/>
    <w:r w:rsidRPr="00E0620A">
      <w:rPr>
        <w:b/>
        <w:sz w:val="16"/>
        <w:szCs w:val="16"/>
      </w:rPr>
      <w:t>requirements</w:t>
    </w:r>
    <w:proofErr w:type="gramEnd"/>
    <w:r w:rsidRPr="00E0620A">
      <w:rPr>
        <w:b/>
        <w:sz w:val="16"/>
        <w:szCs w:val="16"/>
      </w:rPr>
      <w:t xml:space="preserve"> and may be revised periodically. (Title V Release 11/04)</w:t>
    </w:r>
    <w:r w:rsidR="00676C07" w:rsidRPr="00641C60">
      <w:rPr>
        <w:b/>
        <w:sz w:val="16"/>
        <w:szCs w:val="16"/>
      </w:rPr>
      <w:tab/>
      <w:t xml:space="preserve">Page </w:t>
    </w:r>
    <w:r w:rsidR="006C780A" w:rsidRPr="00641C60">
      <w:rPr>
        <w:b/>
        <w:sz w:val="16"/>
        <w:szCs w:val="16"/>
      </w:rPr>
      <w:fldChar w:fldCharType="begin"/>
    </w:r>
    <w:r w:rsidR="00676C07" w:rsidRPr="00641C60">
      <w:rPr>
        <w:b/>
        <w:sz w:val="16"/>
        <w:szCs w:val="16"/>
      </w:rPr>
      <w:instrText xml:space="preserve"> PAGE </w:instrText>
    </w:r>
    <w:r w:rsidR="006C780A" w:rsidRPr="00641C60">
      <w:rPr>
        <w:b/>
        <w:sz w:val="16"/>
        <w:szCs w:val="16"/>
      </w:rPr>
      <w:fldChar w:fldCharType="separate"/>
    </w:r>
    <w:r w:rsidR="00260411">
      <w:rPr>
        <w:b/>
        <w:noProof/>
        <w:sz w:val="16"/>
        <w:szCs w:val="16"/>
      </w:rPr>
      <w:t>1</w:t>
    </w:r>
    <w:r w:rsidR="006C780A" w:rsidRPr="00641C60">
      <w:rPr>
        <w:b/>
        <w:sz w:val="16"/>
        <w:szCs w:val="16"/>
      </w:rPr>
      <w:fldChar w:fldCharType="end"/>
    </w:r>
    <w:r w:rsidR="00676C07" w:rsidRPr="00641C60">
      <w:rPr>
        <w:b/>
        <w:sz w:val="16"/>
        <w:szCs w:val="16"/>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60" w:rsidRPr="00E0620A" w:rsidRDefault="00641C60" w:rsidP="00641C60">
    <w:pPr>
      <w:pStyle w:val="Footer"/>
      <w:tabs>
        <w:tab w:val="clear" w:pos="4680"/>
        <w:tab w:val="clear" w:pos="9360"/>
        <w:tab w:val="right" w:pos="10440"/>
      </w:tabs>
      <w:rPr>
        <w:b/>
        <w:sz w:val="16"/>
        <w:szCs w:val="16"/>
      </w:rPr>
    </w:pPr>
    <w:r w:rsidRPr="00E0620A">
      <w:rPr>
        <w:b/>
        <w:sz w:val="16"/>
        <w:szCs w:val="16"/>
      </w:rPr>
      <w:t xml:space="preserve">TCEQ - 10049 (APDG 5172v8, Revised </w:t>
    </w:r>
    <w:r w:rsidR="009F4DB9">
      <w:rPr>
        <w:b/>
        <w:sz w:val="16"/>
        <w:szCs w:val="16"/>
      </w:rPr>
      <w:t>1</w:t>
    </w:r>
    <w:r w:rsidR="00EA5F97">
      <w:rPr>
        <w:b/>
        <w:sz w:val="16"/>
        <w:szCs w:val="16"/>
      </w:rPr>
      <w:t>2</w:t>
    </w:r>
    <w:r w:rsidR="006F6907">
      <w:rPr>
        <w:b/>
        <w:sz w:val="16"/>
        <w:szCs w:val="16"/>
      </w:rPr>
      <w:t>/15</w:t>
    </w:r>
    <w:r w:rsidRPr="00E0620A">
      <w:rPr>
        <w:b/>
        <w:sz w:val="16"/>
        <w:szCs w:val="16"/>
      </w:rPr>
      <w:t xml:space="preserve">) OP-UA29 </w:t>
    </w:r>
  </w:p>
  <w:p w:rsidR="00641C60" w:rsidRPr="00E0620A" w:rsidRDefault="00641C60" w:rsidP="00641C60">
    <w:pPr>
      <w:pStyle w:val="Footer"/>
      <w:tabs>
        <w:tab w:val="clear" w:pos="4680"/>
        <w:tab w:val="clear" w:pos="9360"/>
        <w:tab w:val="right" w:pos="10440"/>
      </w:tabs>
      <w:rPr>
        <w:b/>
        <w:sz w:val="16"/>
        <w:szCs w:val="16"/>
      </w:rPr>
    </w:pPr>
    <w:r w:rsidRPr="00E0620A">
      <w:rPr>
        <w:b/>
        <w:sz w:val="16"/>
        <w:szCs w:val="16"/>
      </w:rPr>
      <w:t>This form is for use by facilities subject to air quality permit</w:t>
    </w:r>
  </w:p>
  <w:p w:rsidR="00D61A4E" w:rsidRPr="00641C60" w:rsidRDefault="00641C60" w:rsidP="00641C60">
    <w:pPr>
      <w:pStyle w:val="Footer"/>
      <w:tabs>
        <w:tab w:val="clear" w:pos="4680"/>
        <w:tab w:val="clear" w:pos="9360"/>
        <w:tab w:val="right" w:pos="14220"/>
      </w:tabs>
      <w:rPr>
        <w:b/>
        <w:sz w:val="16"/>
        <w:szCs w:val="16"/>
      </w:rPr>
    </w:pPr>
    <w:proofErr w:type="gramStart"/>
    <w:r w:rsidRPr="00E0620A">
      <w:rPr>
        <w:b/>
        <w:sz w:val="16"/>
        <w:szCs w:val="16"/>
      </w:rPr>
      <w:t>requirements</w:t>
    </w:r>
    <w:proofErr w:type="gramEnd"/>
    <w:r w:rsidRPr="00E0620A">
      <w:rPr>
        <w:b/>
        <w:sz w:val="16"/>
        <w:szCs w:val="16"/>
      </w:rPr>
      <w:t xml:space="preserve"> and may be revised periodically. (Title V Release 11/04)</w:t>
    </w:r>
    <w:r w:rsidR="00D61A4E" w:rsidRPr="00641C60">
      <w:rPr>
        <w:b/>
        <w:sz w:val="16"/>
        <w:szCs w:val="16"/>
      </w:rPr>
      <w:tab/>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F6" w:rsidRDefault="003728F6" w:rsidP="00676C07">
      <w:pPr>
        <w:spacing w:after="0" w:line="240" w:lineRule="auto"/>
      </w:pPr>
      <w:r>
        <w:separator/>
      </w:r>
    </w:p>
  </w:footnote>
  <w:footnote w:type="continuationSeparator" w:id="0">
    <w:p w:rsidR="003728F6" w:rsidRDefault="003728F6" w:rsidP="00676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07" w:rsidRPr="00E0620A" w:rsidRDefault="00676C07" w:rsidP="00676C07">
    <w:pPr>
      <w:tabs>
        <w:tab w:val="right" w:pos="10710"/>
        <w:tab w:val="right" w:pos="14310"/>
      </w:tabs>
      <w:jc w:val="right"/>
      <w:rPr>
        <w:b/>
      </w:rPr>
    </w:pPr>
    <w:r w:rsidRPr="00E0620A">
      <w:rPr>
        <w:b/>
      </w:rPr>
      <w:t>OP-UA29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4E" w:rsidRPr="00D61A4E" w:rsidRDefault="00D61A4E" w:rsidP="00D61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657"/>
    <w:multiLevelType w:val="hybridMultilevel"/>
    <w:tmpl w:val="CA70B842"/>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57EC9"/>
    <w:multiLevelType w:val="hybridMultilevel"/>
    <w:tmpl w:val="8CD674F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5"/>
  </w:num>
  <w:num w:numId="6">
    <w:abstractNumId w:val="9"/>
  </w:num>
  <w:num w:numId="7">
    <w:abstractNumId w:val="9"/>
  </w:num>
  <w:num w:numId="8">
    <w:abstractNumId w:val="5"/>
  </w:num>
  <w:num w:numId="9">
    <w:abstractNumId w:val="5"/>
  </w:num>
  <w:num w:numId="10">
    <w:abstractNumId w:val="9"/>
  </w:num>
  <w:num w:numId="11">
    <w:abstractNumId w:val="5"/>
  </w:num>
  <w:num w:numId="12">
    <w:abstractNumId w:val="3"/>
  </w:num>
  <w:num w:numId="13">
    <w:abstractNumId w:val="2"/>
  </w:num>
  <w:num w:numId="14">
    <w:abstractNumId w:val="2"/>
  </w:num>
  <w:num w:numId="15">
    <w:abstractNumId w:val="2"/>
  </w:num>
  <w:num w:numId="16">
    <w:abstractNumId w:val="3"/>
  </w:num>
  <w:num w:numId="17">
    <w:abstractNumId w:val="3"/>
  </w:num>
  <w:num w:numId="18">
    <w:abstractNumId w:val="6"/>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C5"/>
    <w:rsid w:val="0000055C"/>
    <w:rsid w:val="00000FE3"/>
    <w:rsid w:val="00002C38"/>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37961"/>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95C"/>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7E5A"/>
    <w:rsid w:val="00251707"/>
    <w:rsid w:val="0025366C"/>
    <w:rsid w:val="00256DF0"/>
    <w:rsid w:val="00256F24"/>
    <w:rsid w:val="00260411"/>
    <w:rsid w:val="00261651"/>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4AF8"/>
    <w:rsid w:val="002B6545"/>
    <w:rsid w:val="002B6BCD"/>
    <w:rsid w:val="002C0879"/>
    <w:rsid w:val="002C3C12"/>
    <w:rsid w:val="002C4FB5"/>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8F6"/>
    <w:rsid w:val="00372D33"/>
    <w:rsid w:val="00372F0B"/>
    <w:rsid w:val="0037396E"/>
    <w:rsid w:val="003739EB"/>
    <w:rsid w:val="003744F1"/>
    <w:rsid w:val="00374C88"/>
    <w:rsid w:val="00375F74"/>
    <w:rsid w:val="003769F6"/>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24B1"/>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695"/>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6B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1C60"/>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76C07"/>
    <w:rsid w:val="00682DEA"/>
    <w:rsid w:val="00682FFE"/>
    <w:rsid w:val="00684F3D"/>
    <w:rsid w:val="00686955"/>
    <w:rsid w:val="00686CEC"/>
    <w:rsid w:val="0069341E"/>
    <w:rsid w:val="006961DA"/>
    <w:rsid w:val="006A0CC9"/>
    <w:rsid w:val="006A123B"/>
    <w:rsid w:val="006A196C"/>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C780A"/>
    <w:rsid w:val="006D2294"/>
    <w:rsid w:val="006D24D0"/>
    <w:rsid w:val="006D2B1B"/>
    <w:rsid w:val="006D3DF9"/>
    <w:rsid w:val="006D4346"/>
    <w:rsid w:val="006D5293"/>
    <w:rsid w:val="006D60A5"/>
    <w:rsid w:val="006E08C7"/>
    <w:rsid w:val="006E1553"/>
    <w:rsid w:val="006E235C"/>
    <w:rsid w:val="006E246D"/>
    <w:rsid w:val="006E374B"/>
    <w:rsid w:val="006E3CE9"/>
    <w:rsid w:val="006E4F07"/>
    <w:rsid w:val="006E574A"/>
    <w:rsid w:val="006E588F"/>
    <w:rsid w:val="006E7A85"/>
    <w:rsid w:val="006F0C6A"/>
    <w:rsid w:val="006F22E0"/>
    <w:rsid w:val="006F6907"/>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2E23"/>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4AD7"/>
    <w:rsid w:val="00795D39"/>
    <w:rsid w:val="00797212"/>
    <w:rsid w:val="00797768"/>
    <w:rsid w:val="007A2F0A"/>
    <w:rsid w:val="007A472D"/>
    <w:rsid w:val="007A5C5D"/>
    <w:rsid w:val="007A6C8F"/>
    <w:rsid w:val="007A78E4"/>
    <w:rsid w:val="007B0ACF"/>
    <w:rsid w:val="007B0D39"/>
    <w:rsid w:val="007B1EFF"/>
    <w:rsid w:val="007B2FC0"/>
    <w:rsid w:val="007B6531"/>
    <w:rsid w:val="007B7A3C"/>
    <w:rsid w:val="007C0AD0"/>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3F1E"/>
    <w:rsid w:val="008540F8"/>
    <w:rsid w:val="008563C4"/>
    <w:rsid w:val="00856616"/>
    <w:rsid w:val="00856A3B"/>
    <w:rsid w:val="0085754E"/>
    <w:rsid w:val="00860459"/>
    <w:rsid w:val="0086065F"/>
    <w:rsid w:val="00861748"/>
    <w:rsid w:val="00862064"/>
    <w:rsid w:val="00863728"/>
    <w:rsid w:val="00864F88"/>
    <w:rsid w:val="0086641A"/>
    <w:rsid w:val="008677C5"/>
    <w:rsid w:val="00873C78"/>
    <w:rsid w:val="008755F2"/>
    <w:rsid w:val="00876A4A"/>
    <w:rsid w:val="00880B54"/>
    <w:rsid w:val="00883485"/>
    <w:rsid w:val="00883A7C"/>
    <w:rsid w:val="00883BA6"/>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04D"/>
    <w:rsid w:val="008F0C60"/>
    <w:rsid w:val="008F198C"/>
    <w:rsid w:val="008F23F3"/>
    <w:rsid w:val="008F2569"/>
    <w:rsid w:val="008F2B69"/>
    <w:rsid w:val="008F370C"/>
    <w:rsid w:val="008F4F2C"/>
    <w:rsid w:val="008F53C2"/>
    <w:rsid w:val="008F610E"/>
    <w:rsid w:val="00901B7D"/>
    <w:rsid w:val="00902E55"/>
    <w:rsid w:val="00903ED8"/>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1CC1"/>
    <w:rsid w:val="00922192"/>
    <w:rsid w:val="00922AE6"/>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1B65"/>
    <w:rsid w:val="009E7D57"/>
    <w:rsid w:val="009F1099"/>
    <w:rsid w:val="009F1868"/>
    <w:rsid w:val="009F1BA9"/>
    <w:rsid w:val="009F38EA"/>
    <w:rsid w:val="009F48E6"/>
    <w:rsid w:val="009F4DB9"/>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0282"/>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4E6"/>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DAC"/>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1C84"/>
    <w:rsid w:val="00BB254E"/>
    <w:rsid w:val="00BB2DBA"/>
    <w:rsid w:val="00BB3AFD"/>
    <w:rsid w:val="00BB6C34"/>
    <w:rsid w:val="00BB7AEA"/>
    <w:rsid w:val="00BC076E"/>
    <w:rsid w:val="00BC38F7"/>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0CA2"/>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75FBC"/>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6776"/>
    <w:rsid w:val="00C97400"/>
    <w:rsid w:val="00CA11B2"/>
    <w:rsid w:val="00CA31E3"/>
    <w:rsid w:val="00CA395A"/>
    <w:rsid w:val="00CA53EB"/>
    <w:rsid w:val="00CB2ABD"/>
    <w:rsid w:val="00CB4B5B"/>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E7547"/>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2155"/>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479AC"/>
    <w:rsid w:val="00D51B8E"/>
    <w:rsid w:val="00D53B42"/>
    <w:rsid w:val="00D5410C"/>
    <w:rsid w:val="00D5553D"/>
    <w:rsid w:val="00D6044C"/>
    <w:rsid w:val="00D61674"/>
    <w:rsid w:val="00D61A4E"/>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17DF"/>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20A"/>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55D3"/>
    <w:rsid w:val="00E46B38"/>
    <w:rsid w:val="00E47A0D"/>
    <w:rsid w:val="00E53568"/>
    <w:rsid w:val="00E555E1"/>
    <w:rsid w:val="00E55AB3"/>
    <w:rsid w:val="00E56326"/>
    <w:rsid w:val="00E5636D"/>
    <w:rsid w:val="00E572EC"/>
    <w:rsid w:val="00E60CE5"/>
    <w:rsid w:val="00E637B6"/>
    <w:rsid w:val="00E6633D"/>
    <w:rsid w:val="00E75902"/>
    <w:rsid w:val="00E80256"/>
    <w:rsid w:val="00E80DC3"/>
    <w:rsid w:val="00E81330"/>
    <w:rsid w:val="00E8140A"/>
    <w:rsid w:val="00E872AA"/>
    <w:rsid w:val="00E872DB"/>
    <w:rsid w:val="00E904FA"/>
    <w:rsid w:val="00E90777"/>
    <w:rsid w:val="00E93B60"/>
    <w:rsid w:val="00E94471"/>
    <w:rsid w:val="00E94AE3"/>
    <w:rsid w:val="00E96F55"/>
    <w:rsid w:val="00E97026"/>
    <w:rsid w:val="00EA24EE"/>
    <w:rsid w:val="00EA3116"/>
    <w:rsid w:val="00EA3754"/>
    <w:rsid w:val="00EA4769"/>
    <w:rsid w:val="00EA5F97"/>
    <w:rsid w:val="00EA67CC"/>
    <w:rsid w:val="00EB012D"/>
    <w:rsid w:val="00EB1BE3"/>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B5D"/>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B5F"/>
    <w:rsid w:val="00F74D20"/>
    <w:rsid w:val="00F74EC8"/>
    <w:rsid w:val="00F75567"/>
    <w:rsid w:val="00F7792A"/>
    <w:rsid w:val="00F8157C"/>
    <w:rsid w:val="00F841CF"/>
    <w:rsid w:val="00F85E5F"/>
    <w:rsid w:val="00F87182"/>
    <w:rsid w:val="00F90E90"/>
    <w:rsid w:val="00F91DA8"/>
    <w:rsid w:val="00F92139"/>
    <w:rsid w:val="00F95D79"/>
    <w:rsid w:val="00F977F3"/>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6C5"/>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footer" w:uiPriority="0"/>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684F3D"/>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rsid w:val="00E42BD7"/>
    <w:pPr>
      <w:jc w:val="center"/>
      <w:outlineLvl w:val="0"/>
    </w:pPr>
    <w:rPr>
      <w:rFonts w:eastAsia="Times New Roman"/>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eastAsia="Times New Roman"/>
      <w:i/>
      <w:iCs/>
    </w:rPr>
  </w:style>
  <w:style w:type="paragraph" w:styleId="Heading8">
    <w:name w:val="heading 8"/>
    <w:basedOn w:val="Normal"/>
    <w:next w:val="Normal"/>
    <w:link w:val="Heading8Char"/>
    <w:uiPriority w:val="9"/>
    <w:unhideWhenUsed/>
    <w:rsid w:val="00E42BD7"/>
    <w:pPr>
      <w:outlineLvl w:val="7"/>
    </w:pPr>
    <w:rPr>
      <w:rFonts w:ascii="Cambria" w:eastAsia="Times New Roman"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eastAsia="Times New Roman"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link w:val="GenSpec"/>
    <w:rsid w:val="00E42BD7"/>
    <w:rPr>
      <w:rFonts w:ascii="Georgia" w:eastAsia="Times New Roman" w:hAnsi="Georgia" w:cs="Times New Roman"/>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link w:val="TCEQOP-UA"/>
    <w:rsid w:val="004428E0"/>
    <w:rPr>
      <w:rFonts w:ascii="Georgia" w:eastAsia="Times New Roman" w:hAnsi="Georgia" w:cs="Times New Roman"/>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link w:val="StarComplete"/>
    <w:uiPriority w:val="2"/>
    <w:rsid w:val="006D2294"/>
    <w:rPr>
      <w:b/>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character" w:customStyle="1" w:styleId="Question">
    <w:name w:val="Question"/>
    <w:uiPriority w:val="1"/>
    <w:qFormat/>
    <w:rsid w:val="00800394"/>
    <w:rPr>
      <w:b/>
      <w:u w:val="single"/>
    </w:rPr>
  </w:style>
  <w:style w:type="character" w:customStyle="1" w:styleId="GeneralSpecific">
    <w:name w:val="GeneralSpecific"/>
    <w:uiPriority w:val="1"/>
    <w:qFormat/>
    <w:rsid w:val="00800394"/>
    <w:rPr>
      <w:b/>
      <w:u w:val="single"/>
    </w:rPr>
  </w:style>
  <w:style w:type="paragraph" w:customStyle="1" w:styleId="BoldContinue">
    <w:name w:val="Bold Continue"/>
    <w:basedOn w:val="ListParagraph"/>
    <w:next w:val="Normal"/>
    <w:link w:val="BoldContinueChar"/>
    <w:qFormat/>
    <w:rsid w:val="006046BC"/>
    <w:pPr>
      <w:numPr>
        <w:numId w:val="17"/>
      </w:numPr>
      <w:spacing w:line="240" w:lineRule="auto"/>
      <w:ind w:left="360"/>
      <w:contextualSpacing/>
    </w:pPr>
    <w:rPr>
      <w:rFonts w:ascii="Georgia" w:hAnsi="Georgia"/>
      <w:b/>
      <w:sz w:val="22"/>
    </w:rPr>
  </w:style>
  <w:style w:type="character" w:customStyle="1" w:styleId="BoldContinueChar">
    <w:name w:val="Bold Continue Char"/>
    <w:link w:val="BoldContinue"/>
    <w:rsid w:val="006046BC"/>
    <w:rPr>
      <w:rFonts w:ascii="Georgia" w:hAnsi="Georgia"/>
      <w:b/>
      <w:szCs w:val="22"/>
      <w:lang w:bidi="en-US"/>
    </w:rPr>
  </w:style>
  <w:style w:type="paragraph" w:customStyle="1" w:styleId="BoldComplete">
    <w:name w:val="Bold Complete"/>
    <w:basedOn w:val="BoldContinue"/>
    <w:next w:val="Normal"/>
    <w:link w:val="BoldCompleteChar"/>
    <w:qFormat/>
    <w:rsid w:val="006046BC"/>
    <w:pPr>
      <w:numPr>
        <w:numId w:val="15"/>
      </w:numPr>
      <w:ind w:left="360"/>
    </w:pPr>
  </w:style>
  <w:style w:type="character" w:customStyle="1" w:styleId="BoldCompleteChar">
    <w:name w:val="Bold Complete Char"/>
    <w:link w:val="BoldComplete"/>
    <w:rsid w:val="006046BC"/>
    <w:rPr>
      <w:rFonts w:ascii="Georgia" w:hAnsi="Georgia"/>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rsid w:val="00C75FBC"/>
    <w:rPr>
      <w:color w:val="0000FF"/>
      <w:u w:val="single"/>
    </w:rPr>
  </w:style>
  <w:style w:type="paragraph" w:styleId="Header">
    <w:name w:val="header"/>
    <w:basedOn w:val="Normal"/>
    <w:link w:val="HeaderChar"/>
    <w:uiPriority w:val="14"/>
    <w:unhideWhenUsed/>
    <w:rsid w:val="00676C07"/>
    <w:pPr>
      <w:tabs>
        <w:tab w:val="center" w:pos="4680"/>
        <w:tab w:val="right" w:pos="9360"/>
      </w:tabs>
      <w:spacing w:after="0" w:line="240" w:lineRule="auto"/>
    </w:pPr>
  </w:style>
  <w:style w:type="character" w:customStyle="1" w:styleId="HeaderChar">
    <w:name w:val="Header Char"/>
    <w:basedOn w:val="DefaultParagraphFont"/>
    <w:link w:val="Header"/>
    <w:uiPriority w:val="14"/>
    <w:rsid w:val="00676C07"/>
  </w:style>
  <w:style w:type="paragraph" w:styleId="Footer">
    <w:name w:val="footer"/>
    <w:basedOn w:val="Normal"/>
    <w:link w:val="FooterChar"/>
    <w:unhideWhenUsed/>
    <w:rsid w:val="00676C07"/>
    <w:pPr>
      <w:tabs>
        <w:tab w:val="center" w:pos="4680"/>
        <w:tab w:val="right" w:pos="9360"/>
      </w:tabs>
      <w:spacing w:after="0" w:line="240" w:lineRule="auto"/>
    </w:pPr>
  </w:style>
  <w:style w:type="character" w:customStyle="1" w:styleId="FooterChar">
    <w:name w:val="Footer Char"/>
    <w:basedOn w:val="DefaultParagraphFont"/>
    <w:link w:val="Footer"/>
    <w:uiPriority w:val="14"/>
    <w:semiHidden/>
    <w:rsid w:val="00676C07"/>
  </w:style>
  <w:style w:type="paragraph" w:styleId="BalloonText">
    <w:name w:val="Balloon Text"/>
    <w:basedOn w:val="Normal"/>
    <w:link w:val="BalloonTextChar"/>
    <w:uiPriority w:val="14"/>
    <w:semiHidden/>
    <w:unhideWhenUsed/>
    <w:rsid w:val="00C96776"/>
    <w:pPr>
      <w:spacing w:after="0" w:line="240" w:lineRule="auto"/>
    </w:pPr>
    <w:rPr>
      <w:rFonts w:ascii="Tahoma" w:hAnsi="Tahoma" w:cs="Tahoma"/>
      <w:sz w:val="16"/>
      <w:szCs w:val="16"/>
    </w:rPr>
  </w:style>
  <w:style w:type="character" w:customStyle="1" w:styleId="BalloonTextChar">
    <w:name w:val="Balloon Text Char"/>
    <w:link w:val="BalloonText"/>
    <w:uiPriority w:val="14"/>
    <w:semiHidden/>
    <w:rsid w:val="00C96776"/>
    <w:rPr>
      <w:rFonts w:ascii="Tahoma" w:hAnsi="Tahoma" w:cs="Tahoma"/>
      <w:sz w:val="16"/>
      <w:szCs w:val="16"/>
      <w:lang w:bidi="en-US"/>
    </w:rPr>
  </w:style>
  <w:style w:type="character" w:styleId="CommentReference">
    <w:name w:val="annotation reference"/>
    <w:basedOn w:val="DefaultParagraphFont"/>
    <w:uiPriority w:val="14"/>
    <w:semiHidden/>
    <w:unhideWhenUsed/>
    <w:rsid w:val="008F004D"/>
    <w:rPr>
      <w:sz w:val="16"/>
      <w:szCs w:val="16"/>
    </w:rPr>
  </w:style>
  <w:style w:type="paragraph" w:styleId="CommentText">
    <w:name w:val="annotation text"/>
    <w:basedOn w:val="Normal"/>
    <w:link w:val="CommentTextChar"/>
    <w:uiPriority w:val="14"/>
    <w:semiHidden/>
    <w:unhideWhenUsed/>
    <w:rsid w:val="008F004D"/>
    <w:pPr>
      <w:spacing w:line="240" w:lineRule="auto"/>
    </w:pPr>
    <w:rPr>
      <w:sz w:val="20"/>
      <w:szCs w:val="20"/>
    </w:rPr>
  </w:style>
  <w:style w:type="character" w:customStyle="1" w:styleId="CommentTextChar">
    <w:name w:val="Comment Text Char"/>
    <w:basedOn w:val="DefaultParagraphFont"/>
    <w:link w:val="CommentText"/>
    <w:uiPriority w:val="14"/>
    <w:semiHidden/>
    <w:rsid w:val="008F004D"/>
    <w:rPr>
      <w:lang w:bidi="en-US"/>
    </w:rPr>
  </w:style>
  <w:style w:type="paragraph" w:styleId="CommentSubject">
    <w:name w:val="annotation subject"/>
    <w:basedOn w:val="CommentText"/>
    <w:next w:val="CommentText"/>
    <w:link w:val="CommentSubjectChar"/>
    <w:uiPriority w:val="14"/>
    <w:semiHidden/>
    <w:unhideWhenUsed/>
    <w:rsid w:val="008F004D"/>
    <w:rPr>
      <w:b/>
      <w:bCs/>
    </w:rPr>
  </w:style>
  <w:style w:type="character" w:customStyle="1" w:styleId="CommentSubjectChar">
    <w:name w:val="Comment Subject Char"/>
    <w:basedOn w:val="CommentTextChar"/>
    <w:link w:val="CommentSubject"/>
    <w:uiPriority w:val="14"/>
    <w:semiHidden/>
    <w:rsid w:val="008F004D"/>
    <w:rPr>
      <w:b/>
      <w:bCs/>
      <w:lang w:bidi="en-US"/>
    </w:rPr>
  </w:style>
  <w:style w:type="paragraph" w:styleId="Revision">
    <w:name w:val="Revision"/>
    <w:hidden/>
    <w:uiPriority w:val="99"/>
    <w:semiHidden/>
    <w:rsid w:val="006F6907"/>
    <w:rPr>
      <w:sz w:val="22"/>
      <w:szCs w:val="22"/>
      <w:lang w:bidi="en-US"/>
    </w:rPr>
  </w:style>
  <w:style w:type="character" w:styleId="FollowedHyperlink">
    <w:name w:val="FollowedHyperlink"/>
    <w:basedOn w:val="DefaultParagraphFont"/>
    <w:uiPriority w:val="14"/>
    <w:semiHidden/>
    <w:unhideWhenUsed/>
    <w:rsid w:val="00742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footer" w:uiPriority="0"/>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684F3D"/>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rsid w:val="00E42BD7"/>
    <w:pPr>
      <w:jc w:val="center"/>
      <w:outlineLvl w:val="0"/>
    </w:pPr>
    <w:rPr>
      <w:rFonts w:eastAsia="Times New Roman"/>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eastAsia="Times New Roman"/>
      <w:i/>
      <w:iCs/>
    </w:rPr>
  </w:style>
  <w:style w:type="paragraph" w:styleId="Heading8">
    <w:name w:val="heading 8"/>
    <w:basedOn w:val="Normal"/>
    <w:next w:val="Normal"/>
    <w:link w:val="Heading8Char"/>
    <w:uiPriority w:val="9"/>
    <w:unhideWhenUsed/>
    <w:rsid w:val="00E42BD7"/>
    <w:pPr>
      <w:outlineLvl w:val="7"/>
    </w:pPr>
    <w:rPr>
      <w:rFonts w:ascii="Cambria" w:eastAsia="Times New Roman"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eastAsia="Times New Roman"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link w:val="GenSpec"/>
    <w:rsid w:val="00E42BD7"/>
    <w:rPr>
      <w:rFonts w:ascii="Georgia" w:eastAsia="Times New Roman" w:hAnsi="Georgia" w:cs="Times New Roman"/>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link w:val="TCEQOP-UA"/>
    <w:rsid w:val="004428E0"/>
    <w:rPr>
      <w:rFonts w:ascii="Georgia" w:eastAsia="Times New Roman" w:hAnsi="Georgia" w:cs="Times New Roman"/>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link w:val="StarComplete"/>
    <w:uiPriority w:val="2"/>
    <w:rsid w:val="006D2294"/>
    <w:rPr>
      <w:b/>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character" w:customStyle="1" w:styleId="Question">
    <w:name w:val="Question"/>
    <w:uiPriority w:val="1"/>
    <w:qFormat/>
    <w:rsid w:val="00800394"/>
    <w:rPr>
      <w:b/>
      <w:u w:val="single"/>
    </w:rPr>
  </w:style>
  <w:style w:type="character" w:customStyle="1" w:styleId="GeneralSpecific">
    <w:name w:val="GeneralSpecific"/>
    <w:uiPriority w:val="1"/>
    <w:qFormat/>
    <w:rsid w:val="00800394"/>
    <w:rPr>
      <w:b/>
      <w:u w:val="single"/>
    </w:rPr>
  </w:style>
  <w:style w:type="paragraph" w:customStyle="1" w:styleId="BoldContinue">
    <w:name w:val="Bold Continue"/>
    <w:basedOn w:val="ListParagraph"/>
    <w:next w:val="Normal"/>
    <w:link w:val="BoldContinueChar"/>
    <w:qFormat/>
    <w:rsid w:val="006046BC"/>
    <w:pPr>
      <w:numPr>
        <w:numId w:val="17"/>
      </w:numPr>
      <w:spacing w:line="240" w:lineRule="auto"/>
      <w:ind w:left="360"/>
      <w:contextualSpacing/>
    </w:pPr>
    <w:rPr>
      <w:rFonts w:ascii="Georgia" w:hAnsi="Georgia"/>
      <w:b/>
      <w:sz w:val="22"/>
    </w:rPr>
  </w:style>
  <w:style w:type="character" w:customStyle="1" w:styleId="BoldContinueChar">
    <w:name w:val="Bold Continue Char"/>
    <w:link w:val="BoldContinue"/>
    <w:rsid w:val="006046BC"/>
    <w:rPr>
      <w:rFonts w:ascii="Georgia" w:hAnsi="Georgia"/>
      <w:b/>
      <w:szCs w:val="22"/>
      <w:lang w:bidi="en-US"/>
    </w:rPr>
  </w:style>
  <w:style w:type="paragraph" w:customStyle="1" w:styleId="BoldComplete">
    <w:name w:val="Bold Complete"/>
    <w:basedOn w:val="BoldContinue"/>
    <w:next w:val="Normal"/>
    <w:link w:val="BoldCompleteChar"/>
    <w:qFormat/>
    <w:rsid w:val="006046BC"/>
    <w:pPr>
      <w:numPr>
        <w:numId w:val="15"/>
      </w:numPr>
      <w:ind w:left="360"/>
    </w:pPr>
  </w:style>
  <w:style w:type="character" w:customStyle="1" w:styleId="BoldCompleteChar">
    <w:name w:val="Bold Complete Char"/>
    <w:link w:val="BoldComplete"/>
    <w:rsid w:val="006046BC"/>
    <w:rPr>
      <w:rFonts w:ascii="Georgia" w:hAnsi="Georgia"/>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rsid w:val="00C75FBC"/>
    <w:rPr>
      <w:color w:val="0000FF"/>
      <w:u w:val="single"/>
    </w:rPr>
  </w:style>
  <w:style w:type="paragraph" w:styleId="Header">
    <w:name w:val="header"/>
    <w:basedOn w:val="Normal"/>
    <w:link w:val="HeaderChar"/>
    <w:uiPriority w:val="14"/>
    <w:unhideWhenUsed/>
    <w:rsid w:val="00676C07"/>
    <w:pPr>
      <w:tabs>
        <w:tab w:val="center" w:pos="4680"/>
        <w:tab w:val="right" w:pos="9360"/>
      </w:tabs>
      <w:spacing w:after="0" w:line="240" w:lineRule="auto"/>
    </w:pPr>
  </w:style>
  <w:style w:type="character" w:customStyle="1" w:styleId="HeaderChar">
    <w:name w:val="Header Char"/>
    <w:basedOn w:val="DefaultParagraphFont"/>
    <w:link w:val="Header"/>
    <w:uiPriority w:val="14"/>
    <w:rsid w:val="00676C07"/>
  </w:style>
  <w:style w:type="paragraph" w:styleId="Footer">
    <w:name w:val="footer"/>
    <w:basedOn w:val="Normal"/>
    <w:link w:val="FooterChar"/>
    <w:unhideWhenUsed/>
    <w:rsid w:val="00676C07"/>
    <w:pPr>
      <w:tabs>
        <w:tab w:val="center" w:pos="4680"/>
        <w:tab w:val="right" w:pos="9360"/>
      </w:tabs>
      <w:spacing w:after="0" w:line="240" w:lineRule="auto"/>
    </w:pPr>
  </w:style>
  <w:style w:type="character" w:customStyle="1" w:styleId="FooterChar">
    <w:name w:val="Footer Char"/>
    <w:basedOn w:val="DefaultParagraphFont"/>
    <w:link w:val="Footer"/>
    <w:uiPriority w:val="14"/>
    <w:semiHidden/>
    <w:rsid w:val="00676C07"/>
  </w:style>
  <w:style w:type="paragraph" w:styleId="BalloonText">
    <w:name w:val="Balloon Text"/>
    <w:basedOn w:val="Normal"/>
    <w:link w:val="BalloonTextChar"/>
    <w:uiPriority w:val="14"/>
    <w:semiHidden/>
    <w:unhideWhenUsed/>
    <w:rsid w:val="00C96776"/>
    <w:pPr>
      <w:spacing w:after="0" w:line="240" w:lineRule="auto"/>
    </w:pPr>
    <w:rPr>
      <w:rFonts w:ascii="Tahoma" w:hAnsi="Tahoma" w:cs="Tahoma"/>
      <w:sz w:val="16"/>
      <w:szCs w:val="16"/>
    </w:rPr>
  </w:style>
  <w:style w:type="character" w:customStyle="1" w:styleId="BalloonTextChar">
    <w:name w:val="Balloon Text Char"/>
    <w:link w:val="BalloonText"/>
    <w:uiPriority w:val="14"/>
    <w:semiHidden/>
    <w:rsid w:val="00C96776"/>
    <w:rPr>
      <w:rFonts w:ascii="Tahoma" w:hAnsi="Tahoma" w:cs="Tahoma"/>
      <w:sz w:val="16"/>
      <w:szCs w:val="16"/>
      <w:lang w:bidi="en-US"/>
    </w:rPr>
  </w:style>
  <w:style w:type="character" w:styleId="CommentReference">
    <w:name w:val="annotation reference"/>
    <w:basedOn w:val="DefaultParagraphFont"/>
    <w:uiPriority w:val="14"/>
    <w:semiHidden/>
    <w:unhideWhenUsed/>
    <w:rsid w:val="008F004D"/>
    <w:rPr>
      <w:sz w:val="16"/>
      <w:szCs w:val="16"/>
    </w:rPr>
  </w:style>
  <w:style w:type="paragraph" w:styleId="CommentText">
    <w:name w:val="annotation text"/>
    <w:basedOn w:val="Normal"/>
    <w:link w:val="CommentTextChar"/>
    <w:uiPriority w:val="14"/>
    <w:semiHidden/>
    <w:unhideWhenUsed/>
    <w:rsid w:val="008F004D"/>
    <w:pPr>
      <w:spacing w:line="240" w:lineRule="auto"/>
    </w:pPr>
    <w:rPr>
      <w:sz w:val="20"/>
      <w:szCs w:val="20"/>
    </w:rPr>
  </w:style>
  <w:style w:type="character" w:customStyle="1" w:styleId="CommentTextChar">
    <w:name w:val="Comment Text Char"/>
    <w:basedOn w:val="DefaultParagraphFont"/>
    <w:link w:val="CommentText"/>
    <w:uiPriority w:val="14"/>
    <w:semiHidden/>
    <w:rsid w:val="008F004D"/>
    <w:rPr>
      <w:lang w:bidi="en-US"/>
    </w:rPr>
  </w:style>
  <w:style w:type="paragraph" w:styleId="CommentSubject">
    <w:name w:val="annotation subject"/>
    <w:basedOn w:val="CommentText"/>
    <w:next w:val="CommentText"/>
    <w:link w:val="CommentSubjectChar"/>
    <w:uiPriority w:val="14"/>
    <w:semiHidden/>
    <w:unhideWhenUsed/>
    <w:rsid w:val="008F004D"/>
    <w:rPr>
      <w:b/>
      <w:bCs/>
    </w:rPr>
  </w:style>
  <w:style w:type="character" w:customStyle="1" w:styleId="CommentSubjectChar">
    <w:name w:val="Comment Subject Char"/>
    <w:basedOn w:val="CommentTextChar"/>
    <w:link w:val="CommentSubject"/>
    <w:uiPriority w:val="14"/>
    <w:semiHidden/>
    <w:rsid w:val="008F004D"/>
    <w:rPr>
      <w:b/>
      <w:bCs/>
      <w:lang w:bidi="en-US"/>
    </w:rPr>
  </w:style>
  <w:style w:type="paragraph" w:styleId="Revision">
    <w:name w:val="Revision"/>
    <w:hidden/>
    <w:uiPriority w:val="99"/>
    <w:semiHidden/>
    <w:rsid w:val="006F6907"/>
    <w:rPr>
      <w:sz w:val="22"/>
      <w:szCs w:val="22"/>
      <w:lang w:bidi="en-US"/>
    </w:rPr>
  </w:style>
  <w:style w:type="character" w:styleId="FollowedHyperlink">
    <w:name w:val="FollowedHyperlink"/>
    <w:basedOn w:val="DefaultParagraphFont"/>
    <w:uiPriority w:val="14"/>
    <w:semiHidden/>
    <w:unhideWhenUsed/>
    <w:rsid w:val="00742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assets/public/permitting/air/Guidance/Title_V/sop_initial.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ceq.texas.gov/permitting/central_regist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557818-037A-4138-B860-69040F44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 OP-UA29 Glass Manufacturing Unit Attributes</vt:lpstr>
    </vt:vector>
  </TitlesOfParts>
  <Company>TCEQ</Company>
  <LinksUpToDate>false</LinksUpToDate>
  <CharactersWithSpaces>8934</CharactersWithSpaces>
  <SharedDoc>false</SharedDoc>
  <HLinks>
    <vt:vector size="6" baseType="variant">
      <vt:variant>
        <vt:i4>7929976</vt:i4>
      </vt:variant>
      <vt:variant>
        <vt:i4>0</vt:i4>
      </vt:variant>
      <vt:variant>
        <vt:i4>0</vt:i4>
      </vt:variant>
      <vt:variant>
        <vt:i4>5</vt:i4>
      </vt:variant>
      <vt:variant>
        <vt:lpwstr>http://www.tceq.texas.gov/assets/public/permitting/air/Guidance/Title_V/sop_initial.pdf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OP-UA29 Glass Manufacturing Unit Attributes</dc:title>
  <dc:subject>Form OP-UA29 Glass Manufacturing Unit Attributes</dc:subject>
  <dc:creator>TCEQ</dc:creator>
  <cp:keywords>Glass, Federal Regulations, Furnace, Soda-lime</cp:keywords>
  <cp:lastModifiedBy>TCEQ</cp:lastModifiedBy>
  <cp:revision>2</cp:revision>
  <cp:lastPrinted>2015-09-16T13:37:00Z</cp:lastPrinted>
  <dcterms:created xsi:type="dcterms:W3CDTF">2016-01-04T20:15:00Z</dcterms:created>
  <dcterms:modified xsi:type="dcterms:W3CDTF">2016-01-04T20:15:00Z</dcterms:modified>
</cp:coreProperties>
</file>